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7780"/>
        </w:tabs>
        <w:spacing w:after="0" w:line="200" w:lineRule="auto"/>
        <w:ind w:right="-20"/>
        <w:rPr>
          <w:rFonts w:ascii="Arial Narrow" w:cs="Arial Narrow" w:eastAsia="Arial Narrow" w:hAnsi="Arial Narrow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firstLine="708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3 </w:t>
      </w:r>
    </w:p>
    <w:p w:rsidR="00000000" w:rsidDel="00000000" w:rsidP="00000000" w:rsidRDefault="00000000" w:rsidRPr="00000000" w14:paraId="00000003">
      <w:pPr>
        <w:spacing w:after="0" w:lineRule="auto"/>
        <w:ind w:firstLine="708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PACTO DE TRANSPARENCIA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Este documento hace parte integral de los Documentos del Proceso y con la carta de presentación de la propuesta el Proponente se compromete a: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Cumplir estrictamente la ley aplicable.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Interpretar de buena fe las normas aplicables a los Procesos de Contratación de manera que siempre produzcan los efectos buscados por las mismas.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incurrir en faltas a la verdad o adulteración en los documentos o requisitos exigidos en el Proceso de Contratación.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Aceptar que durante la evaluación de las propuestas del Proceso de Contratación primen los aspectos de fondo por encima de la forma, buscando siempre favorecer la libre competencia.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Hacer un estudio completo del proyecto y de los Documentos del Proceso de Contratación, así como realizar estudios y análisis propios, bajo mi responsabilidad y con la debida diligencia, a fin de contar con los elementos de juicio e información económica, comercial, jurídica y técnica relevante y necesaria para tomar una decisión sustentada para presentar la propuesta. Lo anterior, con el propósito de que la misma sea seria y honesta, de tal manera que me permita participar en el Proceso de Contratación y en caso de resultar adjudicatario ejecutar todas las obligaciones contenidas en el Contrato, así como asumir los riesgos asociados a este.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hacer arreglos previos, concomitantes o posteriores al Proceso de Contratación con los encargados de planear el proceso para tratar de conocer, influenciar o manipular la información del proyecto y presentar la respectiva propuesta.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hacer arreglos previos, concomitantes o posteriores al Proceso de Contratación, con otros Proponentes para tratar de influenciar o manipular los resultados de la adjudicación.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Enviar por escrito a la entidad todas las preguntas o inquietudes que surjan durante el Proceso de Contratación y no hacerlo de manera oral por ningún medio, salvo que se efectúe dentro de las audiencias públicas.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Actuar con lealtad hacia los demás Proponentes y con la Entidad y abstenerme de utilizar herramientas para dilatar o sabotear el Proceso de Contratación. Igualmente, las observaciones al Proceso de Contratación o a las Propuestas de los otros interesados, serán presentadas oportunamente, en los plazos y términos fijados estrictamente en el Pliego de Condiciones.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Abstenerme de hacer manifestaciones orales o escritas en contra de los demás Proponentes y sus Propuestas sin contar con la evidencia, material probatorio o indicios sólidos, que razonablemente permitan considerar que existe un acto irregular, de competencia desleal o de corrupción por parte de ellos. En caso de tener las pruebas, material probatorio o indicios, estos se dejarán a la inmediata disposición de la Entidad o de las autoridades competentes para corroborar tales afirmaciones.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utilizar en la etapa de verificación y evaluación de las propuestas argumentos carentes de sustento probatorio para efectos de buscar la descalificación de competidores o la dilación del Proceso de Contratación.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las audiencias guardar compostura, no levantar la voz y hacer uso de la palabra únicamente cuando sea concedida y por el tiempo que sea otorgada y acatar las decisiones de la entidad. En caso de desacuerdo podrá interponer los recursos o acciones que se consideren pertinentes en los términos de la ley aplicable.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las audiencias, abstenerse de proferir juicios de valor contra personas naturales o jurídicas, ni referirme a asuntos personales de otros proponentes. Por lo tanto, en las audiencias solamente debatir asuntos relacionados con el Proceso de Contratación.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Solicitar o remitir a la Entidad, o a sus funcionarios y contratistas, cualquier información utilizando solamente los procedimientos y canales previstos en el Proceso de Contratación.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ofrecer trabajo, contratos o algún tipo de beneficio económico o de cualquier otra naturaleza a ningún funcionario público, contratista o estructurador vinculado a la entidad ni a sus familiares en primer grado de consanguinidad, segundo de afinidad o primero civil, a partir de la adjudicación o con ocasión de la misma y hasta dos (2) años siguientes a la suscripción del Contrato, sin perjuicio del régimen de conflictos de intereses y de inhabilidades e incompatibilidades previsto en la Constitución y en la ley.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Exigir a nuestros empleados, proveedores y subcontratistas relacionados con el proyecto, suscribir un pacto ético de conducta que garantice la probidad y transparencia de las actuaciones de todos los involucrados en la preparación de la propuesta y en la ejecución del Contrato.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ofrecer gratificaciones o atenciones en dinero o en especie, ni financiar, patrocinar, auspiciar o promover directa o indirectamente fiestas, recepciones, homenajes o cualquier tipo de atenciones sociales a funcionarios públicos o contratistas del Estado, durante el Proceso de Contratación ni durante la ejecución o liquidación del Contrato.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contratar, ni ofrecer dádivas, regalos o gratificaciones a personas con alta capacidad de influencia política o mediática, con el objeto de obtener citas o influir o presionar las decisiones que la Entidad tome respecto de Procesos de Contratación, bien sea en su adjudicación, supervisión, ejecución o terminación.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Manifestar las inquietudes relacionadas con el Proceso de Contratación por los canales definidos en los documentos del proceso.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contratar ni ofrecer dádivas, regalos, gratificaciones, contratos o cualquier tipo de beneficio económico o de cualquier naturaleza, a servidores de la Entidad o sus asesores, o del equipo estructurador, con el fin de tener asesoramiento o acceso a información privilegiada, relacionada con el Proceso de Contratación.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Dar a conocer a la Entidad, a la Secretaría de Transparencia del Departamento Administrativo de la Presidencia de la República y a las autoridades competentes en caso de presentarse alguna queja o denuncia sobre la ocurrencia de un acto de corrupción durante el Proceso de Contratación o con cargo al Contrato, y del conocimiento que tenga sobre posibles pagos o beneficios ofrecidos u otorgados.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Denunciar de manera inmediata ante las autoridades competentes, con copia a la Secretaría de Transparencia del Departamento Administrativo de la Presidencia de la República, cualquier solicitud, ofrecimiento, favor, dádiva, prerrogativa, recompensa, gratificación o atención social, efectuada por Proponentes o cualquiera de sus empleados, administradores, consultores o contratistas, a funcionarios públicos o a sus asesores que estén directa o indirectamente involucrados en la estructuración, manejo y decisiones del Proceso de Contratación, de manera previa, concomitante o posterior al mismo, que tengan la intención de inducir o direccionar alguna decisión relacionada con la adjudicación.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02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Informar en el caso de que sus socios, representantes legales, matrices, o cualquier otro sujeto a ellos vinculados, se encuentren comprometidos en actividades delictivas, o en actos de corrupción, o sujetos a investigaciones, medidas de aseguramiento o condenas por dichos actos de corrupción, lo cual incluye delitos como el soborno transnacional, lavado de activos, enriquecimiento ilícito, cohecho, entre otros, de conformidad con la ley penal colombiana y los tratados internacionales sobre la materia .</w:t>
      </w:r>
    </w:p>
    <w:p w:rsidR="00000000" w:rsidDel="00000000" w:rsidP="00000000" w:rsidRDefault="00000000" w:rsidRPr="00000000" w14:paraId="0000001E">
      <w:pPr>
        <w:spacing w:line="240" w:lineRule="auto"/>
        <w:ind w:left="50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702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17" w:lineRule="auto"/>
      <w:ind w:left="-1276" w:firstLine="0"/>
      <w:jc w:val="center"/>
      <w:rPr>
        <w:rFonts w:ascii="Arial Narrow" w:cs="Arial Narrow" w:eastAsia="Arial Narrow" w:hAnsi="Arial Narrow"/>
        <w:b w:val="1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-95248</wp:posOffset>
          </wp:positionV>
          <wp:extent cx="546100" cy="895985"/>
          <wp:effectExtent b="0" l="0" r="0" t="0"/>
          <wp:wrapNone/>
          <wp:docPr descr="Logotipo&#10;&#10;Descripción generada automáticamente" id="3" name="image3.jp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6100" cy="8959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552450</wp:posOffset>
          </wp:positionH>
          <wp:positionV relativeFrom="paragraph">
            <wp:posOffset>115033</wp:posOffset>
          </wp:positionV>
          <wp:extent cx="590550" cy="581660"/>
          <wp:effectExtent b="0" l="0" r="0" t="0"/>
          <wp:wrapNone/>
          <wp:docPr descr="Imagen que contiene Forma&#10;&#10;Descripción generada automáticamente" id="2" name="image2.jpg"/>
          <a:graphic>
            <a:graphicData uri="http://schemas.openxmlformats.org/drawingml/2006/picture">
              <pic:pic>
                <pic:nvPicPr>
                  <pic:cNvPr descr="Imagen que contiene Forma&#10;&#10;Descripción generada automáticamente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Calle 67 No. 7 -37 Piso 3 • Bogotá • Colombia • (571) 3485400       </w:t>
      <w:tab/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tabs>
        <w:tab w:val="left" w:leader="none" w:pos="7780"/>
      </w:tabs>
      <w:spacing w:after="0" w:line="200" w:lineRule="auto"/>
      <w:ind w:right="-20"/>
      <w:rPr>
        <w:b w:val="1"/>
        <w:color w:val="3b3838"/>
        <w:sz w:val="20"/>
        <w:szCs w:val="20"/>
        <w:highlight w:val="lightGray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Style w:val="Heading1"/>
      <w:spacing w:after="0" w:before="0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2714625</wp:posOffset>
          </wp:positionH>
          <wp:positionV relativeFrom="paragraph">
            <wp:posOffset>-246913</wp:posOffset>
          </wp:positionV>
          <wp:extent cx="2897505" cy="527685"/>
          <wp:effectExtent b="0" l="0" r="0" t="0"/>
          <wp:wrapNone/>
          <wp:docPr descr="Logotipo&#10;&#10;Descripción generada automáticamente" id="1" name="image1.jp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pStyle w:val="Heading1"/>
      <w:spacing w:after="0" w:before="0" w:line="240" w:lineRule="auto"/>
      <w:ind w:left="357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Style w:val="Heading1"/>
      <w:spacing w:after="0" w:before="0" w:line="240" w:lineRule="auto"/>
      <w:ind w:left="357" w:firstLine="0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CONVOCATORIA PÚBLICA n° 001-2023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156" w:hanging="360"/>
      </w:pPr>
      <w:rPr/>
    </w:lvl>
    <w:lvl w:ilvl="2">
      <w:start w:val="1"/>
      <w:numFmt w:val="lowerRoman"/>
      <w:lvlText w:val="%3."/>
      <w:lvlJc w:val="right"/>
      <w:pPr>
        <w:ind w:left="1876" w:hanging="180"/>
      </w:pPr>
      <w:rPr/>
    </w:lvl>
    <w:lvl w:ilvl="3">
      <w:start w:val="1"/>
      <w:numFmt w:val="decimal"/>
      <w:lvlText w:val="%4."/>
      <w:lvlJc w:val="left"/>
      <w:pPr>
        <w:ind w:left="2596" w:hanging="360"/>
      </w:pPr>
      <w:rPr/>
    </w:lvl>
    <w:lvl w:ilvl="4">
      <w:start w:val="1"/>
      <w:numFmt w:val="lowerLetter"/>
      <w:lvlText w:val="%5."/>
      <w:lvlJc w:val="left"/>
      <w:pPr>
        <w:ind w:left="3316" w:hanging="360"/>
      </w:pPr>
      <w:rPr/>
    </w:lvl>
    <w:lvl w:ilvl="5">
      <w:start w:val="1"/>
      <w:numFmt w:val="lowerRoman"/>
      <w:lvlText w:val="%6."/>
      <w:lvlJc w:val="right"/>
      <w:pPr>
        <w:ind w:left="4036" w:hanging="180"/>
      </w:pPr>
      <w:rPr/>
    </w:lvl>
    <w:lvl w:ilvl="6">
      <w:start w:val="1"/>
      <w:numFmt w:val="decimal"/>
      <w:lvlText w:val="%7."/>
      <w:lvlJc w:val="left"/>
      <w:pPr>
        <w:ind w:left="4756" w:hanging="360"/>
      </w:pPr>
      <w:rPr/>
    </w:lvl>
    <w:lvl w:ilvl="7">
      <w:start w:val="1"/>
      <w:numFmt w:val="lowerLetter"/>
      <w:lvlText w:val="%8."/>
      <w:lvlJc w:val="left"/>
      <w:pPr>
        <w:ind w:left="5476" w:hanging="360"/>
      </w:pPr>
      <w:rPr/>
    </w:lvl>
    <w:lvl w:ilvl="8">
      <w:start w:val="1"/>
      <w:numFmt w:val="lowerRoman"/>
      <w:lvlText w:val="%9."/>
      <w:lvlJc w:val="right"/>
      <w:pPr>
        <w:ind w:left="619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Rule="auto"/>
      <w:ind w:left="720" w:hanging="720"/>
      <w:jc w:val="center"/>
    </w:pPr>
    <w:rPr>
      <w:rFonts w:ascii="Arial" w:cs="Arial" w:eastAsia="Arial" w:hAnsi="Arial"/>
      <w:b w:val="1"/>
      <w:smallCaps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  <w:ind w:left="1440" w:hanging="720"/>
      <w:jc w:val="both"/>
    </w:pPr>
    <w:rPr>
      <w:rFonts w:ascii="Arial" w:cs="Arial" w:eastAsia="Arial" w:hAnsi="Arial"/>
      <w:b w:val="1"/>
      <w:smallCaps w:val="1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40" w:lineRule="auto"/>
      <w:ind w:left="2160" w:hanging="720"/>
      <w:jc w:val="both"/>
    </w:pPr>
    <w:rPr>
      <w:rFonts w:ascii="Arial" w:cs="Arial" w:eastAsia="Arial" w:hAnsi="Arial"/>
      <w:b w:val="1"/>
      <w:smallCaps w:val="1"/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g1BQbWMNugLd3PeaQEhHEpu4Iw==">CgMxLjAyCGguZ2pkZ3hzOAByITF2eWFMd0toWktwNnZkSnJiRDlQcDJPek9uUzUtU1lLZA==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