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60F6" w:rsidRPr="00213EA8" w:rsidRDefault="00AE60F6" w:rsidP="00213EA8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rFonts w:eastAsia="Times New Roman"/>
          <w:caps/>
          <w:sz w:val="40"/>
          <w:szCs w:val="40"/>
        </w:rPr>
      </w:pPr>
      <w:r w:rsidRPr="00213EA8">
        <w:rPr>
          <w:rFonts w:eastAsia="Times New Roman"/>
          <w:b/>
          <w:caps/>
          <w:sz w:val="40"/>
          <w:szCs w:val="40"/>
          <w:lang w:val="es-CO"/>
        </w:rPr>
        <w:t>CAJA DE LA VIVIENDA POPULAR</w:t>
      </w: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INFORME MENSUAL</w:t>
      </w:r>
      <w:r w:rsidR="00BF3997">
        <w:rPr>
          <w:b/>
          <w:sz w:val="40"/>
          <w:szCs w:val="40"/>
        </w:rPr>
        <w:t xml:space="preserve"> DE </w:t>
      </w:r>
      <w:r w:rsidRPr="00213EA8">
        <w:rPr>
          <w:b/>
          <w:sz w:val="40"/>
          <w:szCs w:val="40"/>
        </w:rPr>
        <w:t>OPORTUNIDAD DE LAS RESPUESTAS A LAS PQRSD</w:t>
      </w: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</w:p>
    <w:p w:rsidR="00213EA8" w:rsidRPr="00213EA8" w:rsidRDefault="00213EA8" w:rsidP="00213EA8">
      <w:pPr>
        <w:pStyle w:val="Sinespaciado"/>
        <w:jc w:val="center"/>
        <w:rPr>
          <w:b/>
          <w:sz w:val="40"/>
          <w:szCs w:val="40"/>
        </w:rPr>
      </w:pPr>
      <w:r w:rsidRPr="00213EA8">
        <w:rPr>
          <w:b/>
          <w:sz w:val="40"/>
          <w:szCs w:val="40"/>
        </w:rPr>
        <w:t>Periodo</w:t>
      </w:r>
      <w:r>
        <w:rPr>
          <w:b/>
          <w:sz w:val="40"/>
          <w:szCs w:val="40"/>
        </w:rPr>
        <w:t>:</w:t>
      </w:r>
      <w:r w:rsidRPr="00213EA8">
        <w:rPr>
          <w:b/>
          <w:sz w:val="40"/>
          <w:szCs w:val="40"/>
        </w:rPr>
        <w:t xml:space="preserve"> 01</w:t>
      </w:r>
      <w:r>
        <w:rPr>
          <w:b/>
          <w:sz w:val="40"/>
          <w:szCs w:val="40"/>
        </w:rPr>
        <w:t xml:space="preserve"> al </w:t>
      </w:r>
      <w:r w:rsidR="0064108B">
        <w:rPr>
          <w:b/>
          <w:sz w:val="40"/>
          <w:szCs w:val="40"/>
        </w:rPr>
        <w:t>28</w:t>
      </w:r>
      <w:r>
        <w:rPr>
          <w:b/>
          <w:sz w:val="40"/>
          <w:szCs w:val="40"/>
        </w:rPr>
        <w:t xml:space="preserve"> de </w:t>
      </w:r>
      <w:r w:rsidR="0064108B">
        <w:rPr>
          <w:b/>
          <w:sz w:val="40"/>
          <w:szCs w:val="40"/>
        </w:rPr>
        <w:t xml:space="preserve">febrero </w:t>
      </w:r>
      <w:r>
        <w:rPr>
          <w:b/>
          <w:sz w:val="40"/>
          <w:szCs w:val="40"/>
        </w:rPr>
        <w:t xml:space="preserve">de </w:t>
      </w:r>
      <w:r w:rsidRPr="00213EA8">
        <w:rPr>
          <w:b/>
          <w:sz w:val="40"/>
          <w:szCs w:val="40"/>
        </w:rPr>
        <w:t>2018</w:t>
      </w:r>
    </w:p>
    <w:p w:rsidR="00AE60F6" w:rsidRPr="00213EA8" w:rsidRDefault="00AE60F6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3997" w:rsidRDefault="00BF3997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13EA8">
        <w:rPr>
          <w:rFonts w:ascii="Arial" w:hAnsi="Arial" w:cs="Arial"/>
          <w:b/>
          <w:sz w:val="40"/>
          <w:szCs w:val="40"/>
        </w:rPr>
        <w:t xml:space="preserve">Bogotá D.C., martes 6 de </w:t>
      </w:r>
      <w:r w:rsidR="0064108B">
        <w:rPr>
          <w:rFonts w:ascii="Arial" w:hAnsi="Arial" w:cs="Arial"/>
          <w:b/>
          <w:sz w:val="40"/>
          <w:szCs w:val="40"/>
        </w:rPr>
        <w:t>marzo</w:t>
      </w:r>
      <w:r w:rsidRPr="00213EA8">
        <w:rPr>
          <w:rFonts w:ascii="Arial" w:hAnsi="Arial" w:cs="Arial"/>
          <w:b/>
          <w:sz w:val="40"/>
          <w:szCs w:val="40"/>
        </w:rPr>
        <w:t xml:space="preserve"> de 2018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  <w:lang w:val="es-ES"/>
        </w:rPr>
        <w:id w:val="34490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13EA8" w:rsidRPr="00213EA8" w:rsidRDefault="00BF3997" w:rsidP="00213EA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13EA8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TABLA DE </w:t>
          </w:r>
          <w:r w:rsidRPr="00213EA8">
            <w:rPr>
              <w:rFonts w:ascii="Arial" w:hAnsi="Arial" w:cs="Arial"/>
              <w:b/>
              <w:sz w:val="24"/>
              <w:szCs w:val="24"/>
            </w:rPr>
            <w:t>CONTENIDO</w:t>
          </w:r>
        </w:p>
        <w:p w:rsidR="00213EA8" w:rsidRDefault="00213EA8" w:rsidP="00213EA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t>INTRODUCCION</w:t>
          </w:r>
        </w:p>
        <w:p w:rsidR="00F041AA" w:rsidRDefault="00213EA8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213EA8">
            <w:rPr>
              <w:rFonts w:cs="Arial"/>
              <w:sz w:val="24"/>
              <w:szCs w:val="24"/>
            </w:rPr>
            <w:fldChar w:fldCharType="begin"/>
          </w:r>
          <w:r w:rsidRPr="00213EA8">
            <w:rPr>
              <w:rFonts w:cs="Arial"/>
              <w:sz w:val="24"/>
              <w:szCs w:val="24"/>
            </w:rPr>
            <w:instrText xml:space="preserve"> TOC \o "1-4" \h \z \u </w:instrText>
          </w:r>
          <w:r w:rsidRPr="00213EA8">
            <w:rPr>
              <w:rFonts w:cs="Arial"/>
              <w:sz w:val="24"/>
              <w:szCs w:val="24"/>
            </w:rPr>
            <w:fldChar w:fldCharType="separate"/>
          </w:r>
          <w:hyperlink w:anchor="_Toc520889928" w:history="1"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F041AA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OBJETIVO Y ALCANCE</w:t>
            </w:r>
            <w:r w:rsidR="00F041AA">
              <w:rPr>
                <w:noProof/>
                <w:webHidden/>
              </w:rPr>
              <w:tab/>
            </w:r>
            <w:r w:rsidR="00F041AA">
              <w:rPr>
                <w:noProof/>
                <w:webHidden/>
              </w:rPr>
              <w:fldChar w:fldCharType="begin"/>
            </w:r>
            <w:r w:rsidR="00F041AA">
              <w:rPr>
                <w:noProof/>
                <w:webHidden/>
              </w:rPr>
              <w:instrText xml:space="preserve"> PAGEREF _Toc520889928 \h </w:instrText>
            </w:r>
            <w:r w:rsidR="00F041AA">
              <w:rPr>
                <w:noProof/>
                <w:webHidden/>
              </w:rPr>
            </w:r>
            <w:r w:rsidR="00F041AA">
              <w:rPr>
                <w:noProof/>
                <w:webHidden/>
              </w:rPr>
              <w:fldChar w:fldCharType="separate"/>
            </w:r>
            <w:r w:rsidR="00F041AA">
              <w:rPr>
                <w:noProof/>
                <w:webHidden/>
              </w:rPr>
              <w:t>4</w:t>
            </w:r>
            <w:r w:rsidR="00F041AA">
              <w:rPr>
                <w:noProof/>
                <w:webHidden/>
              </w:rPr>
              <w:fldChar w:fldCharType="end"/>
            </w:r>
          </w:hyperlink>
        </w:p>
        <w:p w:rsidR="00F041AA" w:rsidRDefault="008A1671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89929" w:history="1"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F041AA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METODOLOGÍA</w:t>
            </w:r>
            <w:r w:rsidR="00F041AA">
              <w:rPr>
                <w:noProof/>
                <w:webHidden/>
              </w:rPr>
              <w:tab/>
            </w:r>
            <w:r w:rsidR="00F041AA">
              <w:rPr>
                <w:noProof/>
                <w:webHidden/>
              </w:rPr>
              <w:fldChar w:fldCharType="begin"/>
            </w:r>
            <w:r w:rsidR="00F041AA">
              <w:rPr>
                <w:noProof/>
                <w:webHidden/>
              </w:rPr>
              <w:instrText xml:space="preserve"> PAGEREF _Toc520889929 \h </w:instrText>
            </w:r>
            <w:r w:rsidR="00F041AA">
              <w:rPr>
                <w:noProof/>
                <w:webHidden/>
              </w:rPr>
            </w:r>
            <w:r w:rsidR="00F041AA">
              <w:rPr>
                <w:noProof/>
                <w:webHidden/>
              </w:rPr>
              <w:fldChar w:fldCharType="separate"/>
            </w:r>
            <w:r w:rsidR="00F041AA">
              <w:rPr>
                <w:noProof/>
                <w:webHidden/>
              </w:rPr>
              <w:t>4</w:t>
            </w:r>
            <w:r w:rsidR="00F041AA">
              <w:rPr>
                <w:noProof/>
                <w:webHidden/>
              </w:rPr>
              <w:fldChar w:fldCharType="end"/>
            </w:r>
          </w:hyperlink>
        </w:p>
        <w:p w:rsidR="00F041AA" w:rsidRDefault="008A1671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89930" w:history="1"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3.</w:t>
            </w:r>
            <w:r w:rsidR="00F041AA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DESARROLLO DEL ANALISIS</w:t>
            </w:r>
            <w:r w:rsidR="00F041AA">
              <w:rPr>
                <w:noProof/>
                <w:webHidden/>
              </w:rPr>
              <w:tab/>
            </w:r>
            <w:r w:rsidR="00F041AA">
              <w:rPr>
                <w:noProof/>
                <w:webHidden/>
              </w:rPr>
              <w:fldChar w:fldCharType="begin"/>
            </w:r>
            <w:r w:rsidR="00F041AA">
              <w:rPr>
                <w:noProof/>
                <w:webHidden/>
              </w:rPr>
              <w:instrText xml:space="preserve"> PAGEREF _Toc520889930 \h </w:instrText>
            </w:r>
            <w:r w:rsidR="00F041AA">
              <w:rPr>
                <w:noProof/>
                <w:webHidden/>
              </w:rPr>
            </w:r>
            <w:r w:rsidR="00F041AA">
              <w:rPr>
                <w:noProof/>
                <w:webHidden/>
              </w:rPr>
              <w:fldChar w:fldCharType="separate"/>
            </w:r>
            <w:r w:rsidR="00F041AA">
              <w:rPr>
                <w:noProof/>
                <w:webHidden/>
              </w:rPr>
              <w:t>5</w:t>
            </w:r>
            <w:r w:rsidR="00F041AA">
              <w:rPr>
                <w:noProof/>
                <w:webHidden/>
              </w:rPr>
              <w:fldChar w:fldCharType="end"/>
            </w:r>
          </w:hyperlink>
        </w:p>
        <w:p w:rsidR="00F041AA" w:rsidRDefault="008A1671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89931" w:history="1"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3.1.</w:t>
            </w:r>
            <w:r w:rsidR="00F041AA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PQRSD Recibidas Y Solucionadas.</w:t>
            </w:r>
            <w:r w:rsidR="00F041AA">
              <w:rPr>
                <w:noProof/>
                <w:webHidden/>
              </w:rPr>
              <w:tab/>
            </w:r>
            <w:r w:rsidR="00F041AA">
              <w:rPr>
                <w:noProof/>
                <w:webHidden/>
              </w:rPr>
              <w:fldChar w:fldCharType="begin"/>
            </w:r>
            <w:r w:rsidR="00F041AA">
              <w:rPr>
                <w:noProof/>
                <w:webHidden/>
              </w:rPr>
              <w:instrText xml:space="preserve"> PAGEREF _Toc520889931 \h </w:instrText>
            </w:r>
            <w:r w:rsidR="00F041AA">
              <w:rPr>
                <w:noProof/>
                <w:webHidden/>
              </w:rPr>
            </w:r>
            <w:r w:rsidR="00F041AA">
              <w:rPr>
                <w:noProof/>
                <w:webHidden/>
              </w:rPr>
              <w:fldChar w:fldCharType="separate"/>
            </w:r>
            <w:r w:rsidR="00F041AA">
              <w:rPr>
                <w:noProof/>
                <w:webHidden/>
              </w:rPr>
              <w:t>5</w:t>
            </w:r>
            <w:r w:rsidR="00F041AA">
              <w:rPr>
                <w:noProof/>
                <w:webHidden/>
              </w:rPr>
              <w:fldChar w:fldCharType="end"/>
            </w:r>
          </w:hyperlink>
        </w:p>
        <w:p w:rsidR="00F041AA" w:rsidRDefault="008A1671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89932" w:history="1"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3.2.</w:t>
            </w:r>
            <w:r w:rsidR="00F041AA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Cálculo del tiempo promedio de respuesta de las PQRSD</w:t>
            </w:r>
            <w:r w:rsidR="00F041AA">
              <w:rPr>
                <w:noProof/>
                <w:webHidden/>
              </w:rPr>
              <w:tab/>
            </w:r>
            <w:r w:rsidR="00F041AA">
              <w:rPr>
                <w:noProof/>
                <w:webHidden/>
              </w:rPr>
              <w:fldChar w:fldCharType="begin"/>
            </w:r>
            <w:r w:rsidR="00F041AA">
              <w:rPr>
                <w:noProof/>
                <w:webHidden/>
              </w:rPr>
              <w:instrText xml:space="preserve"> PAGEREF _Toc520889932 \h </w:instrText>
            </w:r>
            <w:r w:rsidR="00F041AA">
              <w:rPr>
                <w:noProof/>
                <w:webHidden/>
              </w:rPr>
            </w:r>
            <w:r w:rsidR="00F041AA">
              <w:rPr>
                <w:noProof/>
                <w:webHidden/>
              </w:rPr>
              <w:fldChar w:fldCharType="separate"/>
            </w:r>
            <w:r w:rsidR="00F041AA">
              <w:rPr>
                <w:noProof/>
                <w:webHidden/>
              </w:rPr>
              <w:t>6</w:t>
            </w:r>
            <w:r w:rsidR="00F041AA">
              <w:rPr>
                <w:noProof/>
                <w:webHidden/>
              </w:rPr>
              <w:fldChar w:fldCharType="end"/>
            </w:r>
          </w:hyperlink>
        </w:p>
        <w:p w:rsidR="00F041AA" w:rsidRDefault="008A1671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89933" w:history="1"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3.3.</w:t>
            </w:r>
            <w:r w:rsidR="00F041AA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F041AA" w:rsidRPr="00835029">
              <w:rPr>
                <w:rStyle w:val="Hipervnculo"/>
                <w:noProof/>
              </w:rPr>
              <w:t xml:space="preserve"> </w:t>
            </w:r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oportuno</w:t>
            </w:r>
            <w:r w:rsidR="00F041AA">
              <w:rPr>
                <w:noProof/>
                <w:webHidden/>
              </w:rPr>
              <w:tab/>
            </w:r>
            <w:r w:rsidR="00F041AA">
              <w:rPr>
                <w:noProof/>
                <w:webHidden/>
              </w:rPr>
              <w:fldChar w:fldCharType="begin"/>
            </w:r>
            <w:r w:rsidR="00F041AA">
              <w:rPr>
                <w:noProof/>
                <w:webHidden/>
              </w:rPr>
              <w:instrText xml:space="preserve"> PAGEREF _Toc520889933 \h </w:instrText>
            </w:r>
            <w:r w:rsidR="00F041AA">
              <w:rPr>
                <w:noProof/>
                <w:webHidden/>
              </w:rPr>
            </w:r>
            <w:r w:rsidR="00F041AA">
              <w:rPr>
                <w:noProof/>
                <w:webHidden/>
              </w:rPr>
              <w:fldChar w:fldCharType="separate"/>
            </w:r>
            <w:r w:rsidR="00F041AA">
              <w:rPr>
                <w:noProof/>
                <w:webHidden/>
              </w:rPr>
              <w:t>8</w:t>
            </w:r>
            <w:r w:rsidR="00F041AA">
              <w:rPr>
                <w:noProof/>
                <w:webHidden/>
              </w:rPr>
              <w:fldChar w:fldCharType="end"/>
            </w:r>
          </w:hyperlink>
        </w:p>
        <w:p w:rsidR="00F041AA" w:rsidRDefault="008A1671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89934" w:history="1">
            <w:r w:rsidR="00F041AA" w:rsidRPr="00835029">
              <w:rPr>
                <w:rStyle w:val="Hipervnculo"/>
                <w:noProof/>
              </w:rPr>
              <w:t>3.4.</w:t>
            </w:r>
            <w:r w:rsidR="00F041AA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F041AA" w:rsidRPr="00835029">
              <w:rPr>
                <w:rStyle w:val="Hipervnculo"/>
                <w:rFonts w:cs="Arial"/>
                <w:noProof/>
                <w:lang w:val="es-ES"/>
              </w:rPr>
              <w:t>Análisis de las respuestas con cierre</w:t>
            </w:r>
            <w:r w:rsidR="00F041AA" w:rsidRPr="00835029">
              <w:rPr>
                <w:rStyle w:val="Hipervnculo"/>
                <w:noProof/>
              </w:rPr>
              <w:t xml:space="preserve"> inoportuno</w:t>
            </w:r>
            <w:r w:rsidR="00F041AA">
              <w:rPr>
                <w:noProof/>
                <w:webHidden/>
              </w:rPr>
              <w:tab/>
            </w:r>
            <w:r w:rsidR="00F041AA">
              <w:rPr>
                <w:noProof/>
                <w:webHidden/>
              </w:rPr>
              <w:fldChar w:fldCharType="begin"/>
            </w:r>
            <w:r w:rsidR="00F041AA">
              <w:rPr>
                <w:noProof/>
                <w:webHidden/>
              </w:rPr>
              <w:instrText xml:space="preserve"> PAGEREF _Toc520889934 \h </w:instrText>
            </w:r>
            <w:r w:rsidR="00F041AA">
              <w:rPr>
                <w:noProof/>
                <w:webHidden/>
              </w:rPr>
            </w:r>
            <w:r w:rsidR="00F041AA">
              <w:rPr>
                <w:noProof/>
                <w:webHidden/>
              </w:rPr>
              <w:fldChar w:fldCharType="separate"/>
            </w:r>
            <w:r w:rsidR="00F041AA">
              <w:rPr>
                <w:noProof/>
                <w:webHidden/>
              </w:rPr>
              <w:t>8</w:t>
            </w:r>
            <w:r w:rsidR="00F041AA">
              <w:rPr>
                <w:noProof/>
                <w:webHidden/>
              </w:rPr>
              <w:fldChar w:fldCharType="end"/>
            </w:r>
          </w:hyperlink>
        </w:p>
        <w:p w:rsidR="00F041AA" w:rsidRDefault="008A1671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89935" w:history="1">
            <w:r w:rsidR="00F041AA" w:rsidRPr="00835029">
              <w:rPr>
                <w:rStyle w:val="Hipervnculo"/>
                <w:noProof/>
              </w:rPr>
              <w:t>3.5.</w:t>
            </w:r>
            <w:r w:rsidR="00F041AA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F041AA" w:rsidRPr="00835029">
              <w:rPr>
                <w:rStyle w:val="Hipervnculo"/>
                <w:noProof/>
              </w:rPr>
              <w:t>Cálculo del indicador</w:t>
            </w:r>
            <w:r w:rsidR="00F041AA">
              <w:rPr>
                <w:noProof/>
                <w:webHidden/>
              </w:rPr>
              <w:tab/>
            </w:r>
            <w:r w:rsidR="00F041AA">
              <w:rPr>
                <w:noProof/>
                <w:webHidden/>
              </w:rPr>
              <w:fldChar w:fldCharType="begin"/>
            </w:r>
            <w:r w:rsidR="00F041AA">
              <w:rPr>
                <w:noProof/>
                <w:webHidden/>
              </w:rPr>
              <w:instrText xml:space="preserve"> PAGEREF _Toc520889935 \h </w:instrText>
            </w:r>
            <w:r w:rsidR="00F041AA">
              <w:rPr>
                <w:noProof/>
                <w:webHidden/>
              </w:rPr>
            </w:r>
            <w:r w:rsidR="00F041AA">
              <w:rPr>
                <w:noProof/>
                <w:webHidden/>
              </w:rPr>
              <w:fldChar w:fldCharType="separate"/>
            </w:r>
            <w:r w:rsidR="00F041AA">
              <w:rPr>
                <w:noProof/>
                <w:webHidden/>
              </w:rPr>
              <w:t>11</w:t>
            </w:r>
            <w:r w:rsidR="00F041AA">
              <w:rPr>
                <w:noProof/>
                <w:webHidden/>
              </w:rPr>
              <w:fldChar w:fldCharType="end"/>
            </w:r>
          </w:hyperlink>
        </w:p>
        <w:p w:rsidR="00F041AA" w:rsidRDefault="008A1671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520889936" w:history="1">
            <w:r w:rsidR="00F041AA" w:rsidRPr="00835029">
              <w:rPr>
                <w:rStyle w:val="Hipervnculo"/>
                <w:noProof/>
              </w:rPr>
              <w:t>3.6</w:t>
            </w:r>
            <w:r w:rsidR="00F041AA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F041AA" w:rsidRPr="00835029">
              <w:rPr>
                <w:rStyle w:val="Hipervnculo"/>
                <w:noProof/>
              </w:rPr>
              <w:t>Conclusiones</w:t>
            </w:r>
            <w:r w:rsidR="00F041AA">
              <w:rPr>
                <w:noProof/>
                <w:webHidden/>
              </w:rPr>
              <w:tab/>
            </w:r>
            <w:r w:rsidR="00F041AA">
              <w:rPr>
                <w:noProof/>
                <w:webHidden/>
              </w:rPr>
              <w:fldChar w:fldCharType="begin"/>
            </w:r>
            <w:r w:rsidR="00F041AA">
              <w:rPr>
                <w:noProof/>
                <w:webHidden/>
              </w:rPr>
              <w:instrText xml:space="preserve"> PAGEREF _Toc520889936 \h </w:instrText>
            </w:r>
            <w:r w:rsidR="00F041AA">
              <w:rPr>
                <w:noProof/>
                <w:webHidden/>
              </w:rPr>
            </w:r>
            <w:r w:rsidR="00F041AA">
              <w:rPr>
                <w:noProof/>
                <w:webHidden/>
              </w:rPr>
              <w:fldChar w:fldCharType="separate"/>
            </w:r>
            <w:r w:rsidR="00F041AA">
              <w:rPr>
                <w:noProof/>
                <w:webHidden/>
              </w:rPr>
              <w:t>12</w:t>
            </w:r>
            <w:r w:rsidR="00F041AA">
              <w:rPr>
                <w:noProof/>
                <w:webHidden/>
              </w:rPr>
              <w:fldChar w:fldCharType="end"/>
            </w:r>
          </w:hyperlink>
        </w:p>
        <w:p w:rsidR="00213EA8" w:rsidRPr="00213EA8" w:rsidRDefault="00213EA8" w:rsidP="00213EA8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13EA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3EA8">
        <w:rPr>
          <w:rFonts w:ascii="Arial" w:hAnsi="Arial" w:cs="Arial"/>
          <w:b/>
          <w:sz w:val="24"/>
          <w:szCs w:val="24"/>
          <w:lang w:val="es-ES"/>
        </w:rPr>
        <w:lastRenderedPageBreak/>
        <w:t>INTRODUCCION</w:t>
      </w: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En el presente informe se </w:t>
      </w:r>
      <w:r>
        <w:rPr>
          <w:rFonts w:ascii="Arial" w:hAnsi="Arial" w:cs="Arial"/>
          <w:sz w:val="24"/>
          <w:szCs w:val="24"/>
          <w:lang w:val="es-ES"/>
        </w:rPr>
        <w:t xml:space="preserve">realiza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el análisis </w:t>
      </w:r>
      <w:r>
        <w:rPr>
          <w:rFonts w:ascii="Arial" w:hAnsi="Arial" w:cs="Arial"/>
          <w:sz w:val="24"/>
          <w:szCs w:val="24"/>
          <w:lang w:val="es-ES"/>
        </w:rPr>
        <w:t xml:space="preserve">a la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oportunidad de las respuestas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las peticiones, quejas, reclamos, sugerencias y denuncias por actos de corrupción (PQRSD) </w:t>
      </w:r>
      <w:r>
        <w:rPr>
          <w:rFonts w:ascii="Arial" w:hAnsi="Arial" w:cs="Arial"/>
          <w:sz w:val="24"/>
          <w:szCs w:val="24"/>
          <w:lang w:val="es-ES"/>
        </w:rPr>
        <w:t xml:space="preserve">que fueron interpuestas ante la Caja de la Vivienda Popular (CVP) durante el mes de febrero y que tenían fecha de cierre en él mismo mes, además de las que se interpusieron en enero y tienen fecha </w:t>
      </w:r>
      <w:r w:rsidR="00B66AF3">
        <w:rPr>
          <w:rFonts w:ascii="Arial" w:hAnsi="Arial" w:cs="Arial"/>
          <w:sz w:val="24"/>
          <w:szCs w:val="24"/>
          <w:lang w:val="es-ES"/>
        </w:rPr>
        <w:t>límite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66AF3">
        <w:rPr>
          <w:rFonts w:ascii="Arial" w:hAnsi="Arial" w:cs="Arial"/>
          <w:sz w:val="24"/>
          <w:szCs w:val="24"/>
          <w:lang w:val="es-ES"/>
        </w:rPr>
        <w:t xml:space="preserve">de respuesta </w:t>
      </w:r>
      <w:r>
        <w:rPr>
          <w:rFonts w:ascii="Arial" w:hAnsi="Arial" w:cs="Arial"/>
          <w:sz w:val="24"/>
          <w:szCs w:val="24"/>
          <w:lang w:val="es-ES"/>
        </w:rPr>
        <w:t>el presente mes de análisis.</w:t>
      </w: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documento se analizarán las tipologías interpuestas, las dependencias receptoras y emisoras de las PQRSD y los tiempos promedios de respuestas en días hábiles, con el fin de determinar el indicador de eficacia de las respuestas a las PQRSD generadas. De igual forma se realiza un análisis a las PQRSD que no fueron contestadas en el tiempo que determina la ley.</w:t>
      </w: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base para este análisis, es todo el universo de PQRSD que recibió la CVP a través de sus diferentes canales de atención durante </w:t>
      </w:r>
      <w:r w:rsidR="00B66AF3">
        <w:rPr>
          <w:rFonts w:ascii="Arial" w:hAnsi="Arial" w:cs="Arial"/>
          <w:sz w:val="24"/>
          <w:szCs w:val="24"/>
          <w:lang w:val="es-ES"/>
        </w:rPr>
        <w:t xml:space="preserve">los meses de febrero y enero, las cuales </w:t>
      </w:r>
      <w:r>
        <w:rPr>
          <w:rFonts w:ascii="Arial" w:hAnsi="Arial" w:cs="Arial"/>
          <w:sz w:val="24"/>
          <w:szCs w:val="24"/>
          <w:lang w:val="es-ES"/>
        </w:rPr>
        <w:t>tenían vencimiento en e</w:t>
      </w:r>
      <w:r w:rsidR="00B66AF3">
        <w:rPr>
          <w:rFonts w:ascii="Arial" w:hAnsi="Arial" w:cs="Arial"/>
          <w:sz w:val="24"/>
          <w:szCs w:val="24"/>
          <w:lang w:val="es-ES"/>
        </w:rPr>
        <w:t xml:space="preserve">ste </w:t>
      </w:r>
      <w:r>
        <w:rPr>
          <w:rFonts w:ascii="Arial" w:hAnsi="Arial" w:cs="Arial"/>
          <w:sz w:val="24"/>
          <w:szCs w:val="24"/>
          <w:lang w:val="es-ES"/>
        </w:rPr>
        <w:t>mes</w:t>
      </w:r>
      <w:r w:rsidR="00532380">
        <w:rPr>
          <w:rFonts w:ascii="Arial" w:hAnsi="Arial" w:cs="Arial"/>
          <w:sz w:val="24"/>
          <w:szCs w:val="24"/>
          <w:lang w:val="es-ES"/>
        </w:rPr>
        <w:t xml:space="preserve"> de análisis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676E" w:rsidRPr="00213EA8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debe </w:t>
      </w:r>
      <w:r w:rsidRPr="00213EA8">
        <w:rPr>
          <w:rFonts w:ascii="Arial" w:hAnsi="Arial" w:cs="Arial"/>
          <w:sz w:val="24"/>
          <w:szCs w:val="24"/>
          <w:lang w:val="es-ES"/>
        </w:rPr>
        <w:t>aclara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que se tomó como fecha de </w:t>
      </w:r>
      <w:r>
        <w:rPr>
          <w:rFonts w:ascii="Arial" w:hAnsi="Arial" w:cs="Arial"/>
          <w:sz w:val="24"/>
          <w:szCs w:val="24"/>
          <w:lang w:val="es-ES"/>
        </w:rPr>
        <w:t xml:space="preserve">inicio de los términos de ley,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la fecha </w:t>
      </w:r>
      <w:r>
        <w:rPr>
          <w:rFonts w:ascii="Arial" w:hAnsi="Arial" w:cs="Arial"/>
          <w:sz w:val="24"/>
          <w:szCs w:val="24"/>
          <w:lang w:val="es-ES"/>
        </w:rPr>
        <w:t>en el cual las PQRSD quedaron inscritas en el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istema </w:t>
      </w:r>
      <w:r>
        <w:rPr>
          <w:rFonts w:ascii="Arial" w:hAnsi="Arial" w:cs="Arial"/>
          <w:sz w:val="24"/>
          <w:szCs w:val="24"/>
          <w:lang w:val="es-ES"/>
        </w:rPr>
        <w:t>Distrital de Quejas y Soluciones (</w:t>
      </w:r>
      <w:r w:rsidRPr="00213EA8">
        <w:rPr>
          <w:rFonts w:ascii="Arial" w:hAnsi="Arial" w:cs="Arial"/>
          <w:sz w:val="24"/>
          <w:szCs w:val="24"/>
          <w:lang w:val="es-ES"/>
        </w:rPr>
        <w:t>SDQS</w:t>
      </w:r>
      <w:r>
        <w:rPr>
          <w:rFonts w:ascii="Arial" w:hAnsi="Arial" w:cs="Arial"/>
          <w:sz w:val="24"/>
          <w:szCs w:val="24"/>
          <w:lang w:val="es-ES"/>
        </w:rPr>
        <w:t>) (</w:t>
      </w:r>
      <w:hyperlink r:id="rId9" w:history="1">
        <w:r w:rsidRPr="002A7E7D">
          <w:rPr>
            <w:rStyle w:val="Hipervnculo"/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), atendiendo los lineamientos de la </w:t>
      </w:r>
      <w:r w:rsidRPr="00213EA8">
        <w:rPr>
          <w:rFonts w:ascii="Arial" w:hAnsi="Arial" w:cs="Arial"/>
          <w:sz w:val="24"/>
          <w:szCs w:val="24"/>
          <w:lang w:val="es-ES"/>
        </w:rPr>
        <w:t>Secretaría General de la Alcaldía Mayor</w:t>
      </w:r>
      <w:r>
        <w:rPr>
          <w:rFonts w:ascii="Arial" w:hAnsi="Arial" w:cs="Arial"/>
          <w:sz w:val="24"/>
          <w:szCs w:val="24"/>
          <w:lang w:val="es-ES"/>
        </w:rPr>
        <w:t xml:space="preserve"> de Bogotá D.C.</w:t>
      </w:r>
    </w:p>
    <w:p w:rsidR="0056676E" w:rsidRPr="00213EA8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estableció que para la medición se tomaría el indicador de Tipo Eficacia, que tiene como objetivo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</w:t>
      </w:r>
      <w:r w:rsidRPr="009F1DCA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Para ello se estableció la siguiente fórmula para su cálculo: </w:t>
      </w: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676E" w:rsidRPr="00475966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s-ES"/>
            </w:rPr>
            <m:t>Eficacia=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s-E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Numero total de respuestas emitidas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a las PQRSD en el mes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 xml:space="preserve">Numero total de PQRSD que deben ser </m:t>
                  </m:r>
                </m:e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s-ES"/>
                    </w:rPr>
                    <m:t>solucionadas en el mes</m:t>
                  </m:r>
                </m:e>
              </m:eqArr>
            </m:den>
          </m:f>
          <m:r>
            <w:rPr>
              <w:rFonts w:ascii="Cambria Math" w:hAnsi="Cambria Math" w:cs="Arial"/>
              <w:sz w:val="28"/>
              <w:szCs w:val="28"/>
              <w:lang w:val="es-ES"/>
            </w:rPr>
            <m:t>*100</m:t>
          </m:r>
        </m:oMath>
      </m:oMathPara>
    </w:p>
    <w:p w:rsidR="0056676E" w:rsidRPr="00475966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676E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676E" w:rsidRPr="00213EA8" w:rsidRDefault="0056676E" w:rsidP="005667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564E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676E" w:rsidRDefault="0056676E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1" w:name="_Toc520889928"/>
      <w:r w:rsidRPr="00213EA8">
        <w:rPr>
          <w:rFonts w:cs="Arial"/>
          <w:szCs w:val="24"/>
          <w:lang w:val="es-ES"/>
        </w:rPr>
        <w:lastRenderedPageBreak/>
        <w:t>OBJETIVO</w:t>
      </w:r>
      <w:r w:rsidR="00F23444">
        <w:rPr>
          <w:rFonts w:cs="Arial"/>
          <w:szCs w:val="24"/>
          <w:lang w:val="es-ES"/>
        </w:rPr>
        <w:t xml:space="preserve"> Y ALCANCE</w:t>
      </w:r>
      <w:bookmarkEnd w:id="1"/>
      <w:r w:rsidRPr="00213EA8">
        <w:rPr>
          <w:rFonts w:cs="Arial"/>
          <w:szCs w:val="24"/>
          <w:lang w:val="es-ES"/>
        </w:rPr>
        <w:t xml:space="preserve"> 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E6D68" w:rsidRDefault="003E6D68" w:rsidP="003E6D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objetivo principal </w:t>
      </w:r>
      <w:r>
        <w:rPr>
          <w:rFonts w:ascii="Arial" w:hAnsi="Arial" w:cs="Arial"/>
          <w:sz w:val="24"/>
          <w:szCs w:val="24"/>
          <w:lang w:val="es-ES"/>
        </w:rPr>
        <w:t xml:space="preserve">es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determinar el tiempo promedio </w:t>
      </w:r>
      <w:r>
        <w:rPr>
          <w:rFonts w:ascii="Arial" w:hAnsi="Arial" w:cs="Arial"/>
          <w:sz w:val="24"/>
          <w:szCs w:val="24"/>
          <w:lang w:val="es-ES"/>
        </w:rPr>
        <w:t xml:space="preserve">empleado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para resolver y registrar la respuesta definitiva </w:t>
      </w:r>
      <w:r>
        <w:rPr>
          <w:rFonts w:ascii="Arial" w:hAnsi="Arial" w:cs="Arial"/>
          <w:sz w:val="24"/>
          <w:szCs w:val="24"/>
          <w:lang w:val="es-ES"/>
        </w:rPr>
        <w:t>en el SDQS, por las diferentes dependencias responsables de la solución a las PQRSD</w:t>
      </w:r>
    </w:p>
    <w:p w:rsidR="003E6D68" w:rsidRDefault="003E6D68" w:rsidP="003E6D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E6D68" w:rsidRDefault="003E6D68" w:rsidP="003E6D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ello se realizará un análisis por dependencia y por tipología de PQRSD, lo que permitirá conocer la oportunidad a las respuestas tanto por dependencia como por la CVP.</w:t>
      </w:r>
    </w:p>
    <w:p w:rsidR="003E6D68" w:rsidRDefault="003E6D68" w:rsidP="003E6D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E6D68" w:rsidRDefault="003E6D68" w:rsidP="003E6D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análisis que se realiza es a las PQRSD interpuestas en el mes de febrero y enero, las cuales tienen vencimiento de ley en este mes de an</w:t>
      </w:r>
      <w:r w:rsidR="00C5529D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>lisis</w:t>
      </w:r>
      <w:r w:rsidR="009B787D">
        <w:rPr>
          <w:rFonts w:ascii="Arial" w:hAnsi="Arial" w:cs="Arial"/>
          <w:sz w:val="24"/>
          <w:szCs w:val="24"/>
          <w:lang w:val="es-ES"/>
        </w:rPr>
        <w:t>, o no fueron solucionadas en los anteriores meses.</w:t>
      </w:r>
    </w:p>
    <w:p w:rsidR="00D1754B" w:rsidRDefault="00D1754B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5529D" w:rsidRPr="00213EA8" w:rsidRDefault="00C5529D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" w:name="_Toc520889929"/>
      <w:r w:rsidRPr="00213EA8">
        <w:rPr>
          <w:rFonts w:cs="Arial"/>
          <w:szCs w:val="24"/>
          <w:lang w:val="es-ES"/>
        </w:rPr>
        <w:t>METODOLOGÍA</w:t>
      </w:r>
      <w:bookmarkEnd w:id="2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20187" w:rsidRDefault="00F20187" w:rsidP="00F20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>Se revis</w:t>
      </w:r>
      <w:r>
        <w:rPr>
          <w:rFonts w:ascii="Arial" w:hAnsi="Arial" w:cs="Arial"/>
          <w:sz w:val="24"/>
          <w:szCs w:val="24"/>
          <w:lang w:val="es-ES"/>
        </w:rPr>
        <w:t>o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 la información registrada en el Sistema Distrital de Quejas y Soluciones (SDQS) sobre las distintas PQRSD </w:t>
      </w:r>
      <w:r>
        <w:rPr>
          <w:rFonts w:ascii="Arial" w:hAnsi="Arial" w:cs="Arial"/>
          <w:sz w:val="24"/>
          <w:szCs w:val="24"/>
          <w:lang w:val="es-ES"/>
        </w:rPr>
        <w:t xml:space="preserve">interpuestas en </w:t>
      </w:r>
      <w:r w:rsidR="00C64EAD">
        <w:rPr>
          <w:rFonts w:ascii="Arial" w:hAnsi="Arial" w:cs="Arial"/>
          <w:sz w:val="24"/>
          <w:szCs w:val="24"/>
          <w:lang w:val="es-ES"/>
        </w:rPr>
        <w:t xml:space="preserve">los </w:t>
      </w:r>
      <w:r>
        <w:rPr>
          <w:rFonts w:ascii="Arial" w:hAnsi="Arial" w:cs="Arial"/>
          <w:sz w:val="24"/>
          <w:szCs w:val="24"/>
          <w:lang w:val="es-ES"/>
        </w:rPr>
        <w:t>mes</w:t>
      </w:r>
      <w:r w:rsidR="00C64EAD">
        <w:rPr>
          <w:rFonts w:ascii="Arial" w:hAnsi="Arial" w:cs="Arial"/>
          <w:sz w:val="24"/>
          <w:szCs w:val="24"/>
          <w:lang w:val="es-ES"/>
        </w:rPr>
        <w:t>es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015C01">
        <w:rPr>
          <w:rFonts w:ascii="Arial" w:hAnsi="Arial" w:cs="Arial"/>
          <w:sz w:val="24"/>
          <w:szCs w:val="24"/>
          <w:lang w:val="es-ES"/>
        </w:rPr>
        <w:t>febrero y</w:t>
      </w:r>
      <w:r w:rsidR="00F85256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nero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2018. </w:t>
      </w:r>
      <w:r>
        <w:rPr>
          <w:rFonts w:ascii="Arial" w:hAnsi="Arial" w:cs="Arial"/>
          <w:sz w:val="24"/>
          <w:szCs w:val="24"/>
          <w:lang w:val="es-ES"/>
        </w:rPr>
        <w:t>Esto por medio de un reporte que se genera mediante la plataforma del SDQS; el cual es descargado y plasmado en una hoja de cálculo (Excel)</w:t>
      </w:r>
      <w:r w:rsidRPr="00213EA8">
        <w:rPr>
          <w:rFonts w:ascii="Arial" w:hAnsi="Arial" w:cs="Arial"/>
          <w:sz w:val="24"/>
          <w:szCs w:val="24"/>
          <w:lang w:val="es-ES"/>
        </w:rPr>
        <w:t>.</w:t>
      </w:r>
    </w:p>
    <w:p w:rsidR="00F20187" w:rsidRDefault="00F20187" w:rsidP="00F20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20187" w:rsidRDefault="00F20187" w:rsidP="00F20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esta información s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e selecciona el 100% de las PQRSD </w:t>
      </w:r>
      <w:r>
        <w:rPr>
          <w:rFonts w:ascii="Arial" w:hAnsi="Arial" w:cs="Arial"/>
          <w:sz w:val="24"/>
          <w:szCs w:val="24"/>
          <w:lang w:val="es-ES"/>
        </w:rPr>
        <w:t>que se presentaron en</w:t>
      </w:r>
      <w:r w:rsidR="00015C01">
        <w:rPr>
          <w:rFonts w:ascii="Arial" w:hAnsi="Arial" w:cs="Arial"/>
          <w:sz w:val="24"/>
          <w:szCs w:val="24"/>
          <w:lang w:val="es-ES"/>
        </w:rPr>
        <w:t xml:space="preserve"> </w:t>
      </w:r>
      <w:r w:rsidR="00A42511">
        <w:rPr>
          <w:rFonts w:ascii="Arial" w:hAnsi="Arial" w:cs="Arial"/>
          <w:sz w:val="24"/>
          <w:szCs w:val="24"/>
          <w:lang w:val="es-ES"/>
        </w:rPr>
        <w:t xml:space="preserve">dichos </w:t>
      </w:r>
      <w:r w:rsidR="00015C01">
        <w:rPr>
          <w:rFonts w:ascii="Arial" w:hAnsi="Arial" w:cs="Arial"/>
          <w:sz w:val="24"/>
          <w:szCs w:val="24"/>
          <w:lang w:val="es-ES"/>
        </w:rPr>
        <w:t>meses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015C01">
        <w:rPr>
          <w:rFonts w:ascii="Arial" w:hAnsi="Arial" w:cs="Arial"/>
          <w:sz w:val="24"/>
          <w:szCs w:val="24"/>
          <w:lang w:val="es-ES"/>
        </w:rPr>
        <w:t xml:space="preserve">Esto con </w:t>
      </w:r>
      <w:r>
        <w:rPr>
          <w:rFonts w:ascii="Arial" w:hAnsi="Arial" w:cs="Arial"/>
          <w:sz w:val="24"/>
          <w:szCs w:val="24"/>
          <w:lang w:val="es-ES"/>
        </w:rPr>
        <w:t xml:space="preserve">el objetivo de identificar las que tenían vencimiento </w:t>
      </w:r>
      <w:r w:rsidR="00015C01">
        <w:rPr>
          <w:rFonts w:ascii="Arial" w:hAnsi="Arial" w:cs="Arial"/>
          <w:sz w:val="24"/>
          <w:szCs w:val="24"/>
          <w:lang w:val="es-ES"/>
        </w:rPr>
        <w:t xml:space="preserve">en enero y no fueron solucionadas, así como las de febrero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="006417DB">
        <w:rPr>
          <w:rFonts w:ascii="Arial" w:hAnsi="Arial" w:cs="Arial"/>
          <w:sz w:val="24"/>
          <w:szCs w:val="24"/>
          <w:lang w:val="es-ES"/>
        </w:rPr>
        <w:t xml:space="preserve">fueron </w:t>
      </w:r>
      <w:r>
        <w:rPr>
          <w:rFonts w:ascii="Arial" w:hAnsi="Arial" w:cs="Arial"/>
          <w:sz w:val="24"/>
          <w:szCs w:val="24"/>
          <w:lang w:val="es-ES"/>
        </w:rPr>
        <w:t>soluciona</w:t>
      </w:r>
      <w:r w:rsidR="006417DB">
        <w:rPr>
          <w:rFonts w:ascii="Arial" w:hAnsi="Arial" w:cs="Arial"/>
          <w:sz w:val="24"/>
          <w:szCs w:val="24"/>
          <w:lang w:val="es-ES"/>
        </w:rPr>
        <w:t>das</w:t>
      </w:r>
      <w:r>
        <w:rPr>
          <w:rFonts w:ascii="Arial" w:hAnsi="Arial" w:cs="Arial"/>
          <w:sz w:val="24"/>
          <w:szCs w:val="24"/>
          <w:lang w:val="es-ES"/>
        </w:rPr>
        <w:t xml:space="preserve"> atendiendo los tiempos que determina la ley</w:t>
      </w:r>
      <w:r w:rsidR="006417D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 las que se solucionaron de manera anticipada</w:t>
      </w:r>
      <w:r w:rsidR="006417DB">
        <w:rPr>
          <w:rFonts w:ascii="Arial" w:hAnsi="Arial" w:cs="Arial"/>
          <w:sz w:val="24"/>
          <w:szCs w:val="24"/>
          <w:lang w:val="es-ES"/>
        </w:rPr>
        <w:t>;</w:t>
      </w:r>
      <w:r>
        <w:rPr>
          <w:rFonts w:ascii="Arial" w:hAnsi="Arial" w:cs="Arial"/>
          <w:sz w:val="24"/>
          <w:szCs w:val="24"/>
          <w:lang w:val="es-ES"/>
        </w:rPr>
        <w:t xml:space="preserve"> así </w:t>
      </w:r>
      <w:r w:rsidR="006417DB">
        <w:rPr>
          <w:rFonts w:ascii="Arial" w:hAnsi="Arial" w:cs="Arial"/>
          <w:sz w:val="24"/>
          <w:szCs w:val="24"/>
          <w:lang w:val="es-ES"/>
        </w:rPr>
        <w:t xml:space="preserve">en estas últimas </w:t>
      </w:r>
      <w:r>
        <w:rPr>
          <w:rFonts w:ascii="Arial" w:hAnsi="Arial" w:cs="Arial"/>
          <w:sz w:val="24"/>
          <w:szCs w:val="24"/>
          <w:lang w:val="es-ES"/>
        </w:rPr>
        <w:t xml:space="preserve">no existirá obligatoriedad legal de resolverla en el mismo mes. </w:t>
      </w:r>
    </w:p>
    <w:p w:rsidR="00F20187" w:rsidRDefault="00F20187" w:rsidP="00F20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20187" w:rsidRDefault="00F20187" w:rsidP="00F20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información que podemos identificar en él reporte 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     </w:t>
      </w:r>
    </w:p>
    <w:p w:rsidR="00F20187" w:rsidRDefault="00F20187" w:rsidP="00F20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20187" w:rsidRPr="00213EA8" w:rsidRDefault="00F20187" w:rsidP="00F20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 esta información ya depurada procedemos a plasmar los resultados y realizar los análisis pertinentes.</w:t>
      </w:r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Default="00734036" w:rsidP="007431EE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3" w:name="_Toc520889930"/>
      <w:r>
        <w:rPr>
          <w:rFonts w:cs="Arial"/>
          <w:szCs w:val="24"/>
          <w:lang w:val="es-ES"/>
        </w:rPr>
        <w:lastRenderedPageBreak/>
        <w:t xml:space="preserve">DESARROLLO </w:t>
      </w:r>
      <w:r w:rsidR="00863971">
        <w:rPr>
          <w:rFonts w:cs="Arial"/>
          <w:szCs w:val="24"/>
          <w:lang w:val="es-ES"/>
        </w:rPr>
        <w:t>DEL</w:t>
      </w:r>
      <w:r>
        <w:rPr>
          <w:rFonts w:cs="Arial"/>
          <w:szCs w:val="24"/>
          <w:lang w:val="es-ES"/>
        </w:rPr>
        <w:t xml:space="preserve"> ANALISIS</w:t>
      </w:r>
      <w:bookmarkEnd w:id="3"/>
    </w:p>
    <w:p w:rsidR="00E10B62" w:rsidRPr="007431EE" w:rsidRDefault="00E10B62" w:rsidP="007431EE">
      <w:pPr>
        <w:spacing w:after="0" w:line="240" w:lineRule="auto"/>
        <w:rPr>
          <w:lang w:val="es-ES" w:eastAsia="es-ES"/>
        </w:rPr>
      </w:pPr>
    </w:p>
    <w:p w:rsidR="00213EA8" w:rsidRPr="00213EA8" w:rsidRDefault="00EC15F3" w:rsidP="007431EE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4" w:name="_Toc520871357"/>
      <w:bookmarkStart w:id="5" w:name="_Toc520889931"/>
      <w:r w:rsidRPr="00213EA8">
        <w:rPr>
          <w:rFonts w:cs="Arial"/>
          <w:szCs w:val="24"/>
          <w:lang w:val="es-ES"/>
        </w:rPr>
        <w:t>PQRSD</w:t>
      </w:r>
      <w:r>
        <w:rPr>
          <w:rFonts w:cs="Arial"/>
          <w:szCs w:val="24"/>
          <w:lang w:val="es-ES"/>
        </w:rPr>
        <w:t xml:space="preserve"> Recibidas Y Solucionadas.</w:t>
      </w:r>
      <w:bookmarkEnd w:id="4"/>
      <w:bookmarkEnd w:id="5"/>
    </w:p>
    <w:p w:rsidR="00213EA8" w:rsidRPr="00213EA8" w:rsidRDefault="00213EA8" w:rsidP="007431E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D3446" w:rsidRDefault="005D3446" w:rsidP="005D3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3EA8">
        <w:rPr>
          <w:rFonts w:ascii="Arial" w:hAnsi="Arial" w:cs="Arial"/>
          <w:sz w:val="24"/>
          <w:szCs w:val="24"/>
          <w:lang w:val="es-ES"/>
        </w:rPr>
        <w:t xml:space="preserve">Durante </w:t>
      </w:r>
      <w:r>
        <w:rPr>
          <w:rFonts w:ascii="Arial" w:hAnsi="Arial" w:cs="Arial"/>
          <w:sz w:val="24"/>
          <w:szCs w:val="24"/>
          <w:lang w:val="es-ES"/>
        </w:rPr>
        <w:t xml:space="preserve">febrero </w:t>
      </w:r>
      <w:r w:rsidRPr="00213EA8">
        <w:rPr>
          <w:rFonts w:ascii="Arial" w:hAnsi="Arial" w:cs="Arial"/>
          <w:sz w:val="24"/>
          <w:szCs w:val="24"/>
          <w:lang w:val="es-ES"/>
        </w:rPr>
        <w:t xml:space="preserve">del 2018 se recibieron </w:t>
      </w:r>
      <w:r>
        <w:rPr>
          <w:rFonts w:ascii="Arial" w:hAnsi="Arial" w:cs="Arial"/>
          <w:sz w:val="24"/>
          <w:szCs w:val="24"/>
          <w:lang w:val="es-ES"/>
        </w:rPr>
        <w:t xml:space="preserve">394 PQRSD, el 58,63% (231) se recibió durante los primeros 15 días del mes y para la segunda mitad se </w:t>
      </w:r>
      <w:r w:rsidR="000F20A1">
        <w:rPr>
          <w:rFonts w:ascii="Arial" w:hAnsi="Arial" w:cs="Arial"/>
          <w:sz w:val="24"/>
          <w:szCs w:val="24"/>
          <w:lang w:val="es-ES"/>
        </w:rPr>
        <w:t xml:space="preserve">recibió el </w:t>
      </w:r>
      <w:r>
        <w:rPr>
          <w:rFonts w:ascii="Arial" w:hAnsi="Arial" w:cs="Arial"/>
          <w:sz w:val="24"/>
          <w:szCs w:val="24"/>
          <w:lang w:val="es-ES"/>
        </w:rPr>
        <w:t>41,37% (163) PQRSD.</w:t>
      </w:r>
      <w:r w:rsidR="005902A8">
        <w:rPr>
          <w:rFonts w:ascii="Arial" w:hAnsi="Arial" w:cs="Arial"/>
          <w:sz w:val="24"/>
          <w:szCs w:val="24"/>
          <w:lang w:val="es-ES"/>
        </w:rPr>
        <w:t xml:space="preserve"> </w:t>
      </w:r>
      <w:r w:rsidR="00FD7C80">
        <w:rPr>
          <w:rFonts w:ascii="Arial" w:hAnsi="Arial" w:cs="Arial"/>
          <w:sz w:val="24"/>
          <w:szCs w:val="24"/>
          <w:lang w:val="es-ES"/>
        </w:rPr>
        <w:t>Existiendo un</w:t>
      </w:r>
      <w:r w:rsidR="005902A8">
        <w:rPr>
          <w:rFonts w:ascii="Arial" w:hAnsi="Arial" w:cs="Arial"/>
          <w:sz w:val="24"/>
          <w:szCs w:val="24"/>
          <w:lang w:val="es-ES"/>
        </w:rPr>
        <w:t xml:space="preserve"> incrementó </w:t>
      </w:r>
      <w:r w:rsidR="00FD7C80">
        <w:rPr>
          <w:rFonts w:ascii="Arial" w:hAnsi="Arial" w:cs="Arial"/>
          <w:sz w:val="24"/>
          <w:szCs w:val="24"/>
          <w:lang w:val="es-ES"/>
        </w:rPr>
        <w:t xml:space="preserve">frente al mes anterior (enero), del </w:t>
      </w:r>
      <w:r w:rsidR="005902A8">
        <w:rPr>
          <w:rFonts w:ascii="Arial" w:hAnsi="Arial" w:cs="Arial"/>
          <w:sz w:val="24"/>
          <w:szCs w:val="24"/>
          <w:lang w:val="es-ES"/>
        </w:rPr>
        <w:t>119,03%</w:t>
      </w:r>
      <w:r w:rsidR="00FD7C80">
        <w:rPr>
          <w:rFonts w:ascii="Arial" w:hAnsi="Arial" w:cs="Arial"/>
          <w:sz w:val="24"/>
          <w:szCs w:val="24"/>
          <w:lang w:val="es-ES"/>
        </w:rPr>
        <w:t xml:space="preserve"> PQRSD recibidas.</w:t>
      </w:r>
    </w:p>
    <w:p w:rsidR="005D3446" w:rsidRDefault="005D3446" w:rsidP="00B219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2195E" w:rsidRDefault="0022291D" w:rsidP="00B219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las recibidas en febrero</w:t>
      </w:r>
      <w:r w:rsidR="00B2195E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114 (</w:t>
      </w:r>
      <w:r w:rsidR="00B2195E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8,9</w:t>
      </w:r>
      <w:r w:rsidR="00B2195E">
        <w:rPr>
          <w:rFonts w:ascii="Arial" w:hAnsi="Arial" w:cs="Arial"/>
          <w:sz w:val="24"/>
          <w:szCs w:val="24"/>
          <w:lang w:val="es-ES"/>
        </w:rPr>
        <w:t xml:space="preserve">3%) </w:t>
      </w:r>
      <w:r w:rsidR="00BE2658">
        <w:rPr>
          <w:rFonts w:ascii="Arial" w:hAnsi="Arial" w:cs="Arial"/>
          <w:sz w:val="24"/>
          <w:szCs w:val="24"/>
          <w:lang w:val="es-ES"/>
        </w:rPr>
        <w:t xml:space="preserve">PQRSD, </w:t>
      </w:r>
      <w:r w:rsidR="00B2195E">
        <w:rPr>
          <w:rFonts w:ascii="Arial" w:hAnsi="Arial" w:cs="Arial"/>
          <w:sz w:val="24"/>
          <w:szCs w:val="24"/>
          <w:lang w:val="es-ES"/>
        </w:rPr>
        <w:t xml:space="preserve">la norma determina que se deben responder en </w:t>
      </w:r>
      <w:r w:rsidR="00BE2658">
        <w:rPr>
          <w:rFonts w:ascii="Arial" w:hAnsi="Arial" w:cs="Arial"/>
          <w:sz w:val="24"/>
          <w:szCs w:val="24"/>
          <w:lang w:val="es-ES"/>
        </w:rPr>
        <w:t xml:space="preserve">el </w:t>
      </w:r>
      <w:r w:rsidR="00B2195E">
        <w:rPr>
          <w:rFonts w:ascii="Arial" w:hAnsi="Arial" w:cs="Arial"/>
          <w:sz w:val="24"/>
          <w:szCs w:val="24"/>
          <w:lang w:val="es-ES"/>
        </w:rPr>
        <w:t xml:space="preserve">mismo periodo de presentación. Esto no quiere decir que las </w:t>
      </w:r>
      <w:r w:rsidR="00E66417" w:rsidRPr="00E66417">
        <w:rPr>
          <w:rFonts w:ascii="Arial" w:hAnsi="Arial" w:cs="Arial"/>
          <w:sz w:val="24"/>
          <w:szCs w:val="24"/>
          <w:lang w:val="es-ES"/>
        </w:rPr>
        <w:t>280</w:t>
      </w:r>
      <w:r w:rsidR="00B2195E">
        <w:rPr>
          <w:rFonts w:ascii="Arial" w:hAnsi="Arial" w:cs="Arial"/>
          <w:sz w:val="24"/>
          <w:szCs w:val="24"/>
          <w:lang w:val="es-ES"/>
        </w:rPr>
        <w:t xml:space="preserve"> (</w:t>
      </w:r>
      <w:r w:rsidR="00E66417" w:rsidRPr="00E66417">
        <w:rPr>
          <w:rFonts w:ascii="Arial" w:hAnsi="Arial" w:cs="Arial"/>
          <w:sz w:val="24"/>
          <w:szCs w:val="24"/>
          <w:lang w:val="es-ES"/>
        </w:rPr>
        <w:t>71,07</w:t>
      </w:r>
      <w:r w:rsidR="00B2195E">
        <w:rPr>
          <w:rFonts w:ascii="Arial" w:hAnsi="Arial" w:cs="Arial"/>
          <w:sz w:val="24"/>
          <w:szCs w:val="24"/>
          <w:lang w:val="es-ES"/>
        </w:rPr>
        <w:t xml:space="preserve">%) PQRSD restantes, que tienen fecha límite de respuesta en otro(s) mes(es), no </w:t>
      </w:r>
      <w:r w:rsidR="00E66417">
        <w:rPr>
          <w:rFonts w:ascii="Arial" w:hAnsi="Arial" w:cs="Arial"/>
          <w:sz w:val="24"/>
          <w:szCs w:val="24"/>
          <w:lang w:val="es-ES"/>
        </w:rPr>
        <w:t xml:space="preserve">pudieran haber sido </w:t>
      </w:r>
      <w:r w:rsidR="00B2195E">
        <w:rPr>
          <w:rFonts w:ascii="Arial" w:hAnsi="Arial" w:cs="Arial"/>
          <w:sz w:val="24"/>
          <w:szCs w:val="24"/>
          <w:lang w:val="es-ES"/>
        </w:rPr>
        <w:t>solucionadas en</w:t>
      </w:r>
      <w:r w:rsidR="00E66417">
        <w:rPr>
          <w:rFonts w:ascii="Arial" w:hAnsi="Arial" w:cs="Arial"/>
          <w:sz w:val="24"/>
          <w:szCs w:val="24"/>
          <w:lang w:val="es-ES"/>
        </w:rPr>
        <w:t xml:space="preserve"> febrero</w:t>
      </w:r>
      <w:r w:rsidR="00B2195E">
        <w:rPr>
          <w:rFonts w:ascii="Arial" w:hAnsi="Arial" w:cs="Arial"/>
          <w:sz w:val="24"/>
          <w:szCs w:val="24"/>
          <w:lang w:val="es-ES"/>
        </w:rPr>
        <w:t xml:space="preserve">. (Ver Grafica No. 1). </w:t>
      </w:r>
    </w:p>
    <w:p w:rsidR="00B2195E" w:rsidRDefault="00B2195E" w:rsidP="008822D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C2D1E" w:rsidRDefault="0061602A" w:rsidP="00213EA8">
      <w:pPr>
        <w:spacing w:after="0" w:line="240" w:lineRule="auto"/>
        <w:jc w:val="both"/>
        <w:rPr>
          <w:noProof/>
        </w:rPr>
      </w:pPr>
      <w:r>
        <w:rPr>
          <w:noProof/>
          <w:lang w:eastAsia="es-CO"/>
        </w:rPr>
        <w:drawing>
          <wp:inline distT="0" distB="0" distL="0" distR="0" wp14:anchorId="36BA4BDF" wp14:editId="4D28B15A">
            <wp:extent cx="5915025" cy="3714750"/>
            <wp:effectExtent l="0" t="0" r="952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200E35-8135-4E53-B7C7-85370117DF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098" w:rsidRPr="00356183" w:rsidRDefault="00181098" w:rsidP="0018109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EE6E42" w:rsidRDefault="00EE6E42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46EEB" w:rsidRDefault="002A550D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Sumadas a las 114 PQRSD recibidas en febrero y que deben solucionarse en el mismo mes, se incorporan 17</w:t>
      </w:r>
      <w:r w:rsidR="00A265ED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que no fueron solucionadas en enero. En tal sentido, tenemos </w:t>
      </w:r>
      <w:r>
        <w:rPr>
          <w:rFonts w:ascii="Arial" w:hAnsi="Arial" w:cs="Arial"/>
          <w:sz w:val="24"/>
          <w:szCs w:val="24"/>
          <w:lang w:val="es-ES"/>
        </w:rPr>
        <w:lastRenderedPageBreak/>
        <w:t>un total de 2</w:t>
      </w:r>
      <w:r w:rsidR="00A265ED">
        <w:rPr>
          <w:rFonts w:ascii="Arial" w:hAnsi="Arial" w:cs="Arial"/>
          <w:sz w:val="24"/>
          <w:szCs w:val="24"/>
          <w:lang w:val="es-ES"/>
        </w:rPr>
        <w:t>89</w:t>
      </w:r>
      <w:r>
        <w:rPr>
          <w:rFonts w:ascii="Arial" w:hAnsi="Arial" w:cs="Arial"/>
          <w:sz w:val="24"/>
          <w:szCs w:val="24"/>
          <w:lang w:val="es-ES"/>
        </w:rPr>
        <w:t xml:space="preserve"> PQRSD</w:t>
      </w:r>
      <w:r w:rsidR="00D422B3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a l</w:t>
      </w:r>
      <w:r w:rsidR="00D422B3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>s cuales se les debe dar solución de forma prioritaria, antes d</w:t>
      </w:r>
      <w:r w:rsidR="00D422B3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 xml:space="preserve"> finalizar el mes de febrero.   </w:t>
      </w:r>
    </w:p>
    <w:p w:rsidR="00A2122F" w:rsidRDefault="00A2122F" w:rsidP="00F46E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86761" w:rsidRDefault="004520CB" w:rsidP="004520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Atendiendo lo anteriormente expuesto, para </w:t>
      </w:r>
      <w:r w:rsidR="005C02A6">
        <w:rPr>
          <w:rFonts w:ascii="Arial" w:hAnsi="Arial" w:cs="Arial"/>
          <w:sz w:val="24"/>
          <w:szCs w:val="24"/>
          <w:lang w:val="es-ES"/>
        </w:rPr>
        <w:t>febrero</w:t>
      </w:r>
      <w:r>
        <w:rPr>
          <w:rFonts w:ascii="Arial" w:hAnsi="Arial" w:cs="Arial"/>
          <w:sz w:val="24"/>
          <w:szCs w:val="24"/>
          <w:lang w:val="es-ES"/>
        </w:rPr>
        <w:t xml:space="preserve"> se dio solución a </w:t>
      </w:r>
      <w:r w:rsidR="004073D4">
        <w:rPr>
          <w:rFonts w:ascii="Arial" w:hAnsi="Arial" w:cs="Arial"/>
          <w:sz w:val="24"/>
          <w:szCs w:val="24"/>
          <w:lang w:val="es-ES"/>
        </w:rPr>
        <w:t>356</w:t>
      </w:r>
      <w:r w:rsidR="003E5852">
        <w:rPr>
          <w:rFonts w:ascii="Arial" w:hAnsi="Arial" w:cs="Arial"/>
          <w:sz w:val="24"/>
          <w:szCs w:val="24"/>
          <w:lang w:val="es-ES"/>
        </w:rPr>
        <w:t xml:space="preserve"> (100%)</w:t>
      </w:r>
      <w:r>
        <w:rPr>
          <w:rFonts w:ascii="Arial" w:hAnsi="Arial" w:cs="Arial"/>
          <w:sz w:val="24"/>
          <w:szCs w:val="24"/>
          <w:lang w:val="es-ES"/>
        </w:rPr>
        <w:t xml:space="preserve"> PQRSD</w:t>
      </w:r>
      <w:r w:rsidR="00D86761">
        <w:rPr>
          <w:rFonts w:ascii="Arial" w:hAnsi="Arial" w:cs="Arial"/>
          <w:sz w:val="24"/>
          <w:szCs w:val="24"/>
          <w:lang w:val="es-ES"/>
        </w:rPr>
        <w:t>, distribuidas así:</w:t>
      </w:r>
    </w:p>
    <w:p w:rsidR="00594A58" w:rsidRDefault="00CD5636" w:rsidP="004520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Style w:val="GridTable4Accent1"/>
        <w:tblW w:w="9351" w:type="dxa"/>
        <w:tblLook w:val="04A0" w:firstRow="1" w:lastRow="0" w:firstColumn="1" w:lastColumn="0" w:noHBand="0" w:noVBand="1"/>
      </w:tblPr>
      <w:tblGrid>
        <w:gridCol w:w="4531"/>
        <w:gridCol w:w="1205"/>
        <w:gridCol w:w="1205"/>
        <w:gridCol w:w="1205"/>
        <w:gridCol w:w="1205"/>
      </w:tblGrid>
      <w:tr w:rsidR="00DB71CA" w:rsidRPr="00DD22D9" w:rsidTr="00D0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B71CA" w:rsidRPr="00DD22D9" w:rsidRDefault="00A41B67" w:rsidP="00D06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TABLA N</w:t>
            </w:r>
            <w:r w:rsidR="00640152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1 </w:t>
            </w:r>
            <w:r w:rsidR="00640152">
              <w:rPr>
                <w:rFonts w:ascii="Arial" w:hAnsi="Arial" w:cs="Arial"/>
                <w:sz w:val="20"/>
                <w:szCs w:val="20"/>
                <w:lang w:val="es-E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PQRSD SOLUCIONADAS EN FEBRERO</w:t>
            </w:r>
          </w:p>
        </w:tc>
      </w:tr>
      <w:tr w:rsidR="0016255E" w:rsidRPr="00DD22D9" w:rsidTr="00D0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16255E" w:rsidRPr="00DD22D9" w:rsidRDefault="0016255E" w:rsidP="00D06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</w:p>
        </w:tc>
        <w:tc>
          <w:tcPr>
            <w:tcW w:w="4820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16255E" w:rsidRPr="00DD22D9" w:rsidRDefault="0016255E" w:rsidP="00D060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MES DE VENCIMIENTO</w:t>
            </w:r>
          </w:p>
        </w:tc>
      </w:tr>
      <w:tr w:rsidR="0016255E" w:rsidRPr="00DD22D9" w:rsidTr="00D0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16255E" w:rsidRPr="00DD22D9" w:rsidRDefault="0016255E" w:rsidP="00D06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16255E" w:rsidRPr="00DD22D9" w:rsidRDefault="0016255E" w:rsidP="00D060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22D9">
              <w:rPr>
                <w:rFonts w:ascii="Arial" w:hAnsi="Arial" w:cs="Arial"/>
                <w:sz w:val="20"/>
                <w:szCs w:val="20"/>
                <w:lang w:val="es-ES"/>
              </w:rPr>
              <w:t>ENERO</w:t>
            </w:r>
          </w:p>
        </w:tc>
        <w:tc>
          <w:tcPr>
            <w:tcW w:w="120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16255E" w:rsidRPr="00DD22D9" w:rsidRDefault="0016255E" w:rsidP="00D060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22D9">
              <w:rPr>
                <w:rFonts w:ascii="Arial" w:hAnsi="Arial" w:cs="Arial"/>
                <w:sz w:val="20"/>
                <w:szCs w:val="20"/>
                <w:lang w:val="es-ES"/>
              </w:rPr>
              <w:t>FEBRERO</w:t>
            </w:r>
          </w:p>
        </w:tc>
        <w:tc>
          <w:tcPr>
            <w:tcW w:w="120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16255E" w:rsidRPr="00DD22D9" w:rsidRDefault="0016255E" w:rsidP="00D060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22D9">
              <w:rPr>
                <w:rFonts w:ascii="Arial" w:hAnsi="Arial" w:cs="Arial"/>
                <w:sz w:val="20"/>
                <w:szCs w:val="20"/>
                <w:lang w:val="es-ES"/>
              </w:rPr>
              <w:t>MARZO</w:t>
            </w:r>
          </w:p>
        </w:tc>
        <w:tc>
          <w:tcPr>
            <w:tcW w:w="120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16255E" w:rsidRPr="00DD22D9" w:rsidRDefault="0016255E" w:rsidP="00D060A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</w:tr>
      <w:tr w:rsidR="00613064" w:rsidRPr="00DD22D9" w:rsidTr="00D06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DBE5F1" w:themeColor="accent1" w:themeTint="33"/>
            </w:tcBorders>
            <w:vAlign w:val="center"/>
          </w:tcPr>
          <w:p w:rsidR="00613064" w:rsidRPr="00DD22D9" w:rsidRDefault="00613064" w:rsidP="00D060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Perentorias Solucionadas</w:t>
            </w:r>
            <w:r w:rsidR="00BC2BB1">
              <w:rPr>
                <w:rFonts w:ascii="Arial" w:hAnsi="Arial" w:cs="Arial"/>
                <w:sz w:val="20"/>
                <w:szCs w:val="20"/>
                <w:lang w:val="es-ES"/>
              </w:rPr>
              <w:t xml:space="preserve"> Oportunamente</w:t>
            </w:r>
          </w:p>
        </w:tc>
        <w:tc>
          <w:tcPr>
            <w:tcW w:w="1205" w:type="dxa"/>
            <w:tcBorders>
              <w:top w:val="single" w:sz="4" w:space="0" w:color="DBE5F1" w:themeColor="accent1" w:themeTint="33"/>
            </w:tcBorders>
            <w:vAlign w:val="center"/>
          </w:tcPr>
          <w:p w:rsidR="00613064" w:rsidRPr="001C1E8B" w:rsidRDefault="00613064" w:rsidP="00D060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single" w:sz="4" w:space="0" w:color="DBE5F1" w:themeColor="accent1" w:themeTint="33"/>
            </w:tcBorders>
            <w:vAlign w:val="center"/>
          </w:tcPr>
          <w:p w:rsidR="00613064" w:rsidRPr="001C1E8B" w:rsidRDefault="00AE63FB" w:rsidP="00D060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sz w:val="20"/>
                <w:szCs w:val="20"/>
                <w:lang w:val="es-ES"/>
              </w:rPr>
              <w:t>259</w:t>
            </w:r>
          </w:p>
        </w:tc>
        <w:tc>
          <w:tcPr>
            <w:tcW w:w="1205" w:type="dxa"/>
            <w:tcBorders>
              <w:top w:val="single" w:sz="4" w:space="0" w:color="DBE5F1" w:themeColor="accent1" w:themeTint="33"/>
            </w:tcBorders>
            <w:vAlign w:val="center"/>
          </w:tcPr>
          <w:p w:rsidR="00613064" w:rsidRPr="001C1E8B" w:rsidRDefault="00613064" w:rsidP="00D060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single" w:sz="4" w:space="0" w:color="DBE5F1" w:themeColor="accent1" w:themeTint="33"/>
            </w:tcBorders>
            <w:vAlign w:val="center"/>
          </w:tcPr>
          <w:p w:rsidR="00613064" w:rsidRPr="001C1E8B" w:rsidRDefault="00C163E5" w:rsidP="00D060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b/>
                <w:sz w:val="20"/>
                <w:szCs w:val="20"/>
                <w:lang w:val="es-ES"/>
              </w:rPr>
              <w:t>259</w:t>
            </w:r>
          </w:p>
        </w:tc>
      </w:tr>
      <w:tr w:rsidR="00BC2BB1" w:rsidRPr="00DD22D9" w:rsidTr="00D060A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BC2BB1" w:rsidRDefault="00BC2BB1" w:rsidP="00D060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Perentorias Solucionadas Inoportunamente</w:t>
            </w:r>
          </w:p>
        </w:tc>
        <w:tc>
          <w:tcPr>
            <w:tcW w:w="1205" w:type="dxa"/>
            <w:vAlign w:val="center"/>
          </w:tcPr>
          <w:p w:rsidR="00BC2BB1" w:rsidRPr="001C1E8B" w:rsidRDefault="00A8262C" w:rsidP="00D060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205" w:type="dxa"/>
            <w:vAlign w:val="center"/>
          </w:tcPr>
          <w:p w:rsidR="00BC2BB1" w:rsidRPr="001C1E8B" w:rsidRDefault="009025A2" w:rsidP="00D060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</w:p>
        </w:tc>
        <w:tc>
          <w:tcPr>
            <w:tcW w:w="1205" w:type="dxa"/>
            <w:vAlign w:val="center"/>
          </w:tcPr>
          <w:p w:rsidR="00BC2BB1" w:rsidRPr="001C1E8B" w:rsidRDefault="00BC2BB1" w:rsidP="00D060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vAlign w:val="center"/>
          </w:tcPr>
          <w:p w:rsidR="00BC2BB1" w:rsidRPr="001C1E8B" w:rsidRDefault="00C163E5" w:rsidP="00D060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b/>
                <w:sz w:val="20"/>
                <w:szCs w:val="20"/>
                <w:lang w:val="es-ES"/>
              </w:rPr>
              <w:t>24</w:t>
            </w:r>
          </w:p>
        </w:tc>
      </w:tr>
      <w:tr w:rsidR="003D1BB3" w:rsidRPr="00DD22D9" w:rsidTr="00D06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3D1BB3" w:rsidRPr="00DD22D9" w:rsidRDefault="003D1BB3" w:rsidP="00D060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Solucionadas Anticipadamente</w:t>
            </w:r>
          </w:p>
        </w:tc>
        <w:tc>
          <w:tcPr>
            <w:tcW w:w="1205" w:type="dxa"/>
            <w:vAlign w:val="center"/>
          </w:tcPr>
          <w:p w:rsidR="003D1BB3" w:rsidRPr="001C1E8B" w:rsidRDefault="003D1BB3" w:rsidP="00D060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vAlign w:val="center"/>
          </w:tcPr>
          <w:p w:rsidR="003D1BB3" w:rsidRPr="001C1E8B" w:rsidRDefault="003D1BB3" w:rsidP="00D060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vAlign w:val="center"/>
          </w:tcPr>
          <w:p w:rsidR="003D1BB3" w:rsidRPr="001C1E8B" w:rsidRDefault="00A8262C" w:rsidP="00D060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sz w:val="20"/>
                <w:szCs w:val="20"/>
                <w:lang w:val="es-ES"/>
              </w:rPr>
              <w:t>73</w:t>
            </w:r>
          </w:p>
        </w:tc>
        <w:tc>
          <w:tcPr>
            <w:tcW w:w="1205" w:type="dxa"/>
            <w:vAlign w:val="center"/>
          </w:tcPr>
          <w:p w:rsidR="003D1BB3" w:rsidRPr="001C1E8B" w:rsidRDefault="00C163E5" w:rsidP="00D060A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b/>
                <w:sz w:val="20"/>
                <w:szCs w:val="20"/>
                <w:lang w:val="es-ES"/>
              </w:rPr>
              <w:t>73</w:t>
            </w:r>
          </w:p>
        </w:tc>
      </w:tr>
      <w:tr w:rsidR="003D1BB3" w:rsidRPr="00DD22D9" w:rsidTr="00D060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3D1BB3" w:rsidRPr="00DD22D9" w:rsidRDefault="003D1BB3" w:rsidP="00D060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05" w:type="dxa"/>
            <w:vAlign w:val="center"/>
          </w:tcPr>
          <w:p w:rsidR="003D1BB3" w:rsidRPr="001C1E8B" w:rsidRDefault="00C163E5" w:rsidP="00D060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205" w:type="dxa"/>
            <w:vAlign w:val="center"/>
          </w:tcPr>
          <w:p w:rsidR="003D1BB3" w:rsidRPr="001C1E8B" w:rsidRDefault="00C163E5" w:rsidP="00D060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b/>
                <w:sz w:val="20"/>
                <w:szCs w:val="20"/>
                <w:lang w:val="es-ES"/>
              </w:rPr>
              <w:t>280</w:t>
            </w:r>
          </w:p>
        </w:tc>
        <w:tc>
          <w:tcPr>
            <w:tcW w:w="1205" w:type="dxa"/>
            <w:vAlign w:val="center"/>
          </w:tcPr>
          <w:p w:rsidR="003D1BB3" w:rsidRPr="001C1E8B" w:rsidRDefault="00C163E5" w:rsidP="00D060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b/>
                <w:sz w:val="20"/>
                <w:szCs w:val="20"/>
                <w:lang w:val="es-ES"/>
              </w:rPr>
              <w:t>73</w:t>
            </w:r>
          </w:p>
        </w:tc>
        <w:tc>
          <w:tcPr>
            <w:tcW w:w="1205" w:type="dxa"/>
            <w:vAlign w:val="center"/>
          </w:tcPr>
          <w:p w:rsidR="003D1BB3" w:rsidRPr="001C1E8B" w:rsidRDefault="00C163E5" w:rsidP="00D060A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C1E8B">
              <w:rPr>
                <w:rFonts w:ascii="Arial" w:hAnsi="Arial" w:cs="Arial"/>
                <w:b/>
                <w:sz w:val="20"/>
                <w:szCs w:val="20"/>
                <w:lang w:val="es-ES"/>
              </w:rPr>
              <w:t>356</w:t>
            </w:r>
          </w:p>
        </w:tc>
      </w:tr>
    </w:tbl>
    <w:p w:rsidR="00D86761" w:rsidRDefault="00692591" w:rsidP="004520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0"/>
          <w:szCs w:val="20"/>
        </w:rPr>
        <w:t>Fuente: P</w:t>
      </w:r>
      <w:r w:rsidR="00D92C9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opia</w:t>
      </w:r>
    </w:p>
    <w:p w:rsidR="00D86761" w:rsidRDefault="00D86761" w:rsidP="004520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D3708" w:rsidRDefault="000E6369" w:rsidP="004520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Esto nos permite concluir que </w:t>
      </w:r>
      <w:r w:rsidR="00C710BE">
        <w:rPr>
          <w:rFonts w:ascii="Arial" w:hAnsi="Arial" w:cs="Arial"/>
          <w:sz w:val="24"/>
          <w:szCs w:val="24"/>
          <w:lang w:val="es-ES"/>
        </w:rPr>
        <w:t>se dio respuesta a la totalidad de PQRSD que tenían el carácter de perentorio que venían del mes de enero.</w:t>
      </w:r>
      <w:r w:rsidR="000558AC">
        <w:rPr>
          <w:rFonts w:ascii="Arial" w:hAnsi="Arial" w:cs="Arial"/>
          <w:sz w:val="24"/>
          <w:szCs w:val="24"/>
          <w:lang w:val="es-ES"/>
        </w:rPr>
        <w:t xml:space="preserve"> </w:t>
      </w:r>
      <w:r w:rsidR="00F03FDB">
        <w:rPr>
          <w:rFonts w:ascii="Arial" w:hAnsi="Arial" w:cs="Arial"/>
          <w:sz w:val="24"/>
          <w:szCs w:val="24"/>
          <w:lang w:val="es-ES"/>
        </w:rPr>
        <w:t>Y de las 114 PQRSD</w:t>
      </w:r>
      <w:r w:rsidR="00163221">
        <w:rPr>
          <w:rFonts w:ascii="Arial" w:hAnsi="Arial" w:cs="Arial"/>
          <w:sz w:val="24"/>
          <w:szCs w:val="24"/>
          <w:lang w:val="es-ES"/>
        </w:rPr>
        <w:t>,</w:t>
      </w:r>
      <w:r w:rsidR="00F03FDB">
        <w:rPr>
          <w:rFonts w:ascii="Arial" w:hAnsi="Arial" w:cs="Arial"/>
          <w:sz w:val="24"/>
          <w:szCs w:val="24"/>
          <w:lang w:val="es-ES"/>
        </w:rPr>
        <w:t xml:space="preserve"> que tenían que responderse dentro del mismo mes de presentación (febrero), se logró dar respuesta al </w:t>
      </w:r>
      <w:r w:rsidR="00F03FDB" w:rsidRPr="00F03FDB">
        <w:rPr>
          <w:rFonts w:ascii="Arial" w:hAnsi="Arial" w:cs="Arial"/>
          <w:sz w:val="24"/>
          <w:szCs w:val="24"/>
          <w:lang w:val="es-ES"/>
        </w:rPr>
        <w:t>96,49</w:t>
      </w:r>
      <w:r w:rsidR="00F03FDB">
        <w:rPr>
          <w:rFonts w:ascii="Arial" w:hAnsi="Arial" w:cs="Arial"/>
          <w:sz w:val="24"/>
          <w:szCs w:val="24"/>
          <w:lang w:val="es-ES"/>
        </w:rPr>
        <w:t>% (110)</w:t>
      </w:r>
      <w:r w:rsidR="000558AC">
        <w:rPr>
          <w:rFonts w:ascii="Arial" w:hAnsi="Arial" w:cs="Arial"/>
          <w:sz w:val="24"/>
          <w:szCs w:val="24"/>
          <w:lang w:val="es-ES"/>
        </w:rPr>
        <w:t xml:space="preserve"> de ellas</w:t>
      </w:r>
      <w:r w:rsidR="00011E36">
        <w:rPr>
          <w:rFonts w:ascii="Arial" w:hAnsi="Arial" w:cs="Arial"/>
          <w:sz w:val="24"/>
          <w:szCs w:val="24"/>
          <w:lang w:val="es-ES"/>
        </w:rPr>
        <w:t>; de las cuales d</w:t>
      </w:r>
      <w:r w:rsidR="000558AC">
        <w:rPr>
          <w:rFonts w:ascii="Arial" w:hAnsi="Arial" w:cs="Arial"/>
          <w:sz w:val="24"/>
          <w:szCs w:val="24"/>
          <w:lang w:val="es-ES"/>
        </w:rPr>
        <w:t xml:space="preserve">e manera oportuna </w:t>
      </w:r>
      <w:r w:rsidR="00011E36">
        <w:rPr>
          <w:rFonts w:ascii="Arial" w:hAnsi="Arial" w:cs="Arial"/>
          <w:sz w:val="24"/>
          <w:szCs w:val="24"/>
          <w:lang w:val="es-ES"/>
        </w:rPr>
        <w:t xml:space="preserve">se solucionó </w:t>
      </w:r>
      <w:r w:rsidR="00D55C15">
        <w:rPr>
          <w:rFonts w:ascii="Arial" w:hAnsi="Arial" w:cs="Arial"/>
          <w:sz w:val="24"/>
          <w:szCs w:val="24"/>
          <w:lang w:val="es-ES"/>
        </w:rPr>
        <w:t xml:space="preserve">dentro de los </w:t>
      </w:r>
      <w:r w:rsidR="000558AC">
        <w:rPr>
          <w:rFonts w:ascii="Arial" w:hAnsi="Arial" w:cs="Arial"/>
          <w:sz w:val="24"/>
          <w:szCs w:val="24"/>
          <w:lang w:val="es-ES"/>
        </w:rPr>
        <w:t>tiempos determinados por la ley</w:t>
      </w:r>
      <w:r w:rsidR="00011E36">
        <w:rPr>
          <w:rFonts w:ascii="Arial" w:hAnsi="Arial" w:cs="Arial"/>
          <w:sz w:val="24"/>
          <w:szCs w:val="24"/>
          <w:lang w:val="es-ES"/>
        </w:rPr>
        <w:t xml:space="preserve"> a 104</w:t>
      </w:r>
      <w:r w:rsidR="003B658F">
        <w:rPr>
          <w:rFonts w:ascii="Arial" w:hAnsi="Arial" w:cs="Arial"/>
          <w:sz w:val="24"/>
          <w:szCs w:val="24"/>
          <w:lang w:val="es-ES"/>
        </w:rPr>
        <w:t xml:space="preserve"> PQRSD</w:t>
      </w:r>
      <w:r w:rsidR="00D55C15">
        <w:rPr>
          <w:rFonts w:ascii="Arial" w:hAnsi="Arial" w:cs="Arial"/>
          <w:sz w:val="24"/>
          <w:szCs w:val="24"/>
          <w:lang w:val="es-ES"/>
        </w:rPr>
        <w:t>.</w:t>
      </w:r>
    </w:p>
    <w:p w:rsidR="003D3708" w:rsidRDefault="003D3708" w:rsidP="004520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D3708" w:rsidRDefault="003D3708" w:rsidP="003D37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punto </w:t>
      </w:r>
      <w:r w:rsidRPr="0003232D">
        <w:rPr>
          <w:rFonts w:ascii="Arial" w:hAnsi="Arial" w:cs="Arial"/>
          <w:sz w:val="24"/>
          <w:szCs w:val="24"/>
          <w:lang w:val="es-ES"/>
        </w:rPr>
        <w:t>3.4 “Análisis de las respuestas con cierre inoportuno” de este informe</w:t>
      </w:r>
      <w:r>
        <w:rPr>
          <w:rFonts w:ascii="Arial" w:hAnsi="Arial" w:cs="Arial"/>
          <w:sz w:val="24"/>
          <w:szCs w:val="24"/>
          <w:lang w:val="es-ES"/>
        </w:rPr>
        <w:t>, analizaremos las 24 PQRSD que se atendieron de manera inoportuna</w:t>
      </w:r>
      <w:r w:rsidRPr="0003232D">
        <w:rPr>
          <w:rFonts w:ascii="Arial" w:hAnsi="Arial" w:cs="Arial"/>
          <w:sz w:val="24"/>
          <w:szCs w:val="24"/>
          <w:lang w:val="es-ES"/>
        </w:rPr>
        <w:t>.</w:t>
      </w:r>
    </w:p>
    <w:p w:rsidR="00F46EEB" w:rsidRDefault="00F46EEB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46EEB" w:rsidRDefault="00F46EEB" w:rsidP="002146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213EA8" w:rsidP="00213EA8">
      <w:pPr>
        <w:pStyle w:val="Ttulo2"/>
        <w:spacing w:before="0" w:after="0" w:line="240" w:lineRule="auto"/>
        <w:jc w:val="both"/>
        <w:rPr>
          <w:rFonts w:cs="Arial"/>
          <w:szCs w:val="24"/>
          <w:lang w:val="es-ES"/>
        </w:rPr>
      </w:pPr>
      <w:bookmarkStart w:id="6" w:name="_Toc520889932"/>
      <w:r w:rsidRPr="00213EA8">
        <w:rPr>
          <w:rFonts w:cs="Arial"/>
          <w:szCs w:val="24"/>
          <w:lang w:val="es-ES"/>
        </w:rPr>
        <w:t xml:space="preserve">Cálculo del tiempo promedio de respuesta </w:t>
      </w:r>
      <w:r w:rsidR="00637669">
        <w:rPr>
          <w:rFonts w:cs="Arial"/>
          <w:szCs w:val="24"/>
          <w:lang w:val="es-ES"/>
        </w:rPr>
        <w:t xml:space="preserve">de </w:t>
      </w:r>
      <w:r w:rsidRPr="00213EA8">
        <w:rPr>
          <w:rFonts w:cs="Arial"/>
          <w:szCs w:val="24"/>
          <w:lang w:val="es-ES"/>
        </w:rPr>
        <w:t>las PQRSD</w:t>
      </w:r>
      <w:bookmarkEnd w:id="6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5D4D" w:rsidRDefault="00B45D4D" w:rsidP="00B45D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el mes de febrero del</w:t>
      </w:r>
      <w:r w:rsidR="00FD494C">
        <w:rPr>
          <w:rFonts w:ascii="Arial" w:hAnsi="Arial" w:cs="Arial"/>
          <w:sz w:val="24"/>
          <w:szCs w:val="24"/>
          <w:lang w:val="es-ES"/>
        </w:rPr>
        <w:t xml:space="preserve"> 2018</w:t>
      </w:r>
      <w:r>
        <w:rPr>
          <w:rFonts w:ascii="Arial" w:hAnsi="Arial" w:cs="Arial"/>
          <w:sz w:val="24"/>
          <w:szCs w:val="24"/>
          <w:lang w:val="es-ES"/>
        </w:rPr>
        <w:t xml:space="preserve">, el promedio de días para dar respuestas a las PQRSD interpuestas ante la Caja de la Vivienda Popular fue de 9,72 días hábiles; </w:t>
      </w:r>
      <w:r w:rsidR="0079068E">
        <w:rPr>
          <w:rFonts w:ascii="Arial" w:hAnsi="Arial" w:cs="Arial"/>
          <w:sz w:val="24"/>
          <w:szCs w:val="24"/>
          <w:lang w:val="es-ES"/>
        </w:rPr>
        <w:t xml:space="preserve">siendo </w:t>
      </w:r>
      <w:r w:rsidR="005A72F4">
        <w:rPr>
          <w:rFonts w:ascii="Arial" w:hAnsi="Arial" w:cs="Arial"/>
          <w:sz w:val="24"/>
          <w:szCs w:val="24"/>
          <w:lang w:val="es-ES"/>
        </w:rPr>
        <w:t xml:space="preserve">un </w:t>
      </w:r>
      <w:r>
        <w:rPr>
          <w:rFonts w:ascii="Arial" w:hAnsi="Arial" w:cs="Arial"/>
          <w:sz w:val="24"/>
          <w:szCs w:val="24"/>
          <w:lang w:val="es-ES"/>
        </w:rPr>
        <w:t>valor</w:t>
      </w:r>
      <w:r w:rsidR="0079068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superior al mes anterior</w:t>
      </w:r>
      <w:r w:rsidR="00A929E7">
        <w:rPr>
          <w:rFonts w:ascii="Arial" w:hAnsi="Arial" w:cs="Arial"/>
          <w:sz w:val="24"/>
          <w:szCs w:val="24"/>
          <w:lang w:val="es-ES"/>
        </w:rPr>
        <w:t xml:space="preserve">. </w:t>
      </w:r>
      <w:r w:rsidR="001420EE">
        <w:rPr>
          <w:rFonts w:ascii="Arial" w:hAnsi="Arial" w:cs="Arial"/>
          <w:sz w:val="24"/>
          <w:szCs w:val="24"/>
          <w:lang w:val="es-ES"/>
        </w:rPr>
        <w:t xml:space="preserve">Sin embargo, </w:t>
      </w:r>
      <w:r>
        <w:rPr>
          <w:rFonts w:ascii="Arial" w:hAnsi="Arial" w:cs="Arial"/>
          <w:sz w:val="24"/>
          <w:szCs w:val="24"/>
          <w:lang w:val="es-ES"/>
        </w:rPr>
        <w:t>debemos tener en cuenta que</w:t>
      </w:r>
      <w:r w:rsidR="0079068E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en </w:t>
      </w:r>
      <w:r w:rsidR="006C1046">
        <w:rPr>
          <w:rFonts w:ascii="Arial" w:hAnsi="Arial" w:cs="Arial"/>
          <w:sz w:val="24"/>
          <w:szCs w:val="24"/>
          <w:lang w:val="es-ES"/>
        </w:rPr>
        <w:t xml:space="preserve">este mes de análisis, </w:t>
      </w:r>
      <w:r>
        <w:rPr>
          <w:rFonts w:ascii="Arial" w:hAnsi="Arial" w:cs="Arial"/>
          <w:sz w:val="24"/>
          <w:szCs w:val="24"/>
          <w:lang w:val="es-ES"/>
        </w:rPr>
        <w:t>se incluyeron las PQRSD de</w:t>
      </w:r>
      <w:r w:rsidR="006C1046">
        <w:rPr>
          <w:rFonts w:ascii="Arial" w:hAnsi="Arial" w:cs="Arial"/>
          <w:sz w:val="24"/>
          <w:szCs w:val="24"/>
          <w:lang w:val="es-ES"/>
        </w:rPr>
        <w:t xml:space="preserve"> enero y febrero</w:t>
      </w:r>
      <w:r>
        <w:rPr>
          <w:rFonts w:ascii="Arial" w:hAnsi="Arial" w:cs="Arial"/>
          <w:sz w:val="24"/>
          <w:szCs w:val="24"/>
          <w:lang w:val="es-ES"/>
        </w:rPr>
        <w:t xml:space="preserve">, caso que no ocurrió en el análisis de </w:t>
      </w:r>
      <w:r w:rsidR="006C1046">
        <w:rPr>
          <w:rFonts w:ascii="Arial" w:hAnsi="Arial" w:cs="Arial"/>
          <w:sz w:val="24"/>
          <w:szCs w:val="24"/>
          <w:lang w:val="es-ES"/>
        </w:rPr>
        <w:t>mes pasado.</w:t>
      </w:r>
    </w:p>
    <w:p w:rsidR="00B45D4D" w:rsidRDefault="00B45D4D" w:rsidP="00B45D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61991" w:rsidRDefault="00561991" w:rsidP="00B45D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="00B45D4D"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  <w:lang w:val="es-ES"/>
        </w:rPr>
        <w:t>demos determina</w:t>
      </w:r>
      <w:r w:rsidR="00B45D4D">
        <w:rPr>
          <w:rFonts w:ascii="Arial" w:hAnsi="Arial" w:cs="Arial"/>
          <w:sz w:val="24"/>
          <w:szCs w:val="24"/>
          <w:lang w:val="es-ES"/>
        </w:rPr>
        <w:t>r</w:t>
      </w:r>
      <w:r>
        <w:rPr>
          <w:rFonts w:ascii="Arial" w:hAnsi="Arial" w:cs="Arial"/>
          <w:sz w:val="24"/>
          <w:szCs w:val="24"/>
          <w:lang w:val="es-ES"/>
        </w:rPr>
        <w:t xml:space="preserve"> que la entidad genero un ahorro del 37,53% en la gestión de las 356 PQRSD para el mes de febrero; esto representa 5,84 días que la CVP los pudo utilizar en las demás actividades que demanda la entidad.</w:t>
      </w:r>
    </w:p>
    <w:p w:rsidR="00561991" w:rsidRDefault="00561991" w:rsidP="00B45D4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5D4D" w:rsidRDefault="00B45D4D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724"/>
        <w:gridCol w:w="724"/>
        <w:gridCol w:w="725"/>
        <w:gridCol w:w="724"/>
        <w:gridCol w:w="725"/>
        <w:gridCol w:w="724"/>
        <w:gridCol w:w="725"/>
        <w:gridCol w:w="724"/>
        <w:gridCol w:w="725"/>
        <w:gridCol w:w="851"/>
      </w:tblGrid>
      <w:tr w:rsidR="00075FC7" w:rsidRPr="00C40CD1" w:rsidTr="00162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11"/>
            <w:tcBorders>
              <w:bottom w:val="single" w:sz="4" w:space="0" w:color="DBE5F1" w:themeColor="accent1" w:themeTint="33"/>
            </w:tcBorders>
            <w:noWrap/>
            <w:vAlign w:val="center"/>
            <w:hideMark/>
          </w:tcPr>
          <w:p w:rsidR="00075FC7" w:rsidRPr="00AA1440" w:rsidRDefault="003F2898" w:rsidP="0097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C40CD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TABLA No. </w:t>
            </w:r>
            <w:r w:rsidR="0084020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  <w:r w:rsidR="00C40CD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- </w:t>
            </w:r>
            <w:r w:rsidR="00075FC7"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PROMEDIO DE RESPUESTA A PQRSD</w:t>
            </w:r>
          </w:p>
        </w:tc>
      </w:tr>
      <w:tr w:rsidR="00F07AF0" w:rsidRPr="00C40CD1" w:rsidTr="00162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F07AF0" w:rsidRPr="00AA1440" w:rsidRDefault="00F07AF0" w:rsidP="0097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6520" w:type="dxa"/>
            <w:gridSpan w:val="9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F07AF0" w:rsidRPr="00AA1440" w:rsidRDefault="00F07AF0" w:rsidP="009704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851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F3314E" w:rsidRPr="00C40CD1" w:rsidTr="00150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72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72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72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72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72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72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72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72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851" w:type="dxa"/>
            <w:vMerge/>
            <w:tcBorders>
              <w:lef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50D3E" w:rsidRPr="00C40CD1" w:rsidTr="0015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C40CD1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6,17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8,39</w:t>
            </w:r>
          </w:p>
        </w:tc>
      </w:tr>
      <w:tr w:rsidR="00150D3E" w:rsidRPr="00C40CD1" w:rsidTr="00150D3E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C40CD1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13,50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shd w:val="clear" w:color="auto" w:fill="FF0000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9,83</w:t>
            </w:r>
          </w:p>
        </w:tc>
      </w:tr>
      <w:tr w:rsidR="00150D3E" w:rsidRPr="00C40CD1" w:rsidTr="0015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C40CD1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7,40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8,20</w:t>
            </w:r>
          </w:p>
        </w:tc>
      </w:tr>
      <w:tr w:rsidR="00150D3E" w:rsidRPr="00C40CD1" w:rsidTr="00150D3E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C40CD1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8,80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25" w:type="dxa"/>
            <w:shd w:val="clear" w:color="auto" w:fill="FF0000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16,00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10,70</w:t>
            </w:r>
          </w:p>
        </w:tc>
      </w:tr>
      <w:tr w:rsidR="00150D3E" w:rsidRPr="00C40CD1" w:rsidTr="0015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C40CD1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12,00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11,67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</w:t>
            </w:r>
            <w:r w:rsidR="002F5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2F533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851" w:type="dxa"/>
            <w:noWrap/>
            <w:vAlign w:val="center"/>
            <w:hideMark/>
          </w:tcPr>
          <w:p w:rsidR="00F07AF0" w:rsidRPr="00AA1440" w:rsidRDefault="00FF4E0B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10,09</w:t>
            </w:r>
          </w:p>
        </w:tc>
      </w:tr>
      <w:tr w:rsidR="00150D3E" w:rsidRPr="00C40CD1" w:rsidTr="00150D3E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C40CD1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11,40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12,7</w:t>
            </w:r>
            <w:r w:rsidR="002F533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724" w:type="dxa"/>
            <w:shd w:val="clear" w:color="auto" w:fill="FF0000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8,33</w:t>
            </w:r>
          </w:p>
        </w:tc>
        <w:tc>
          <w:tcPr>
            <w:tcW w:w="851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11,9</w:t>
            </w:r>
            <w:r w:rsidR="00FF4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5D3F27" w:rsidRPr="00C40CD1" w:rsidTr="0024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C40CD1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Oficina Asesora de Planeación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10,00</w:t>
            </w:r>
          </w:p>
        </w:tc>
      </w:tr>
      <w:tr w:rsidR="005D3F27" w:rsidRPr="00C40CD1" w:rsidTr="00247B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C40CD1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8,50</w:t>
            </w:r>
          </w:p>
        </w:tc>
      </w:tr>
      <w:tr w:rsidR="005D3F27" w:rsidRPr="00C40CD1" w:rsidTr="0024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C40CD1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5,54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3,00</w:t>
            </w:r>
          </w:p>
        </w:tc>
        <w:tc>
          <w:tcPr>
            <w:tcW w:w="851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4,27</w:t>
            </w:r>
          </w:p>
        </w:tc>
      </w:tr>
      <w:tr w:rsidR="00150D3E" w:rsidRPr="00C40CD1" w:rsidTr="00247BA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8,67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10,69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9,2</w:t>
            </w:r>
            <w:r w:rsidR="002F5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12,00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  <w:r w:rsidR="002F5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</w:t>
            </w: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,</w:t>
            </w:r>
            <w:r w:rsidR="002F53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00</w:t>
            </w:r>
          </w:p>
        </w:tc>
        <w:tc>
          <w:tcPr>
            <w:tcW w:w="724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8,80</w:t>
            </w:r>
          </w:p>
        </w:tc>
        <w:tc>
          <w:tcPr>
            <w:tcW w:w="725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7,11</w:t>
            </w:r>
          </w:p>
        </w:tc>
        <w:tc>
          <w:tcPr>
            <w:tcW w:w="851" w:type="dxa"/>
            <w:noWrap/>
            <w:vAlign w:val="center"/>
            <w:hideMark/>
          </w:tcPr>
          <w:p w:rsidR="00F07AF0" w:rsidRPr="00AA1440" w:rsidRDefault="00F07AF0" w:rsidP="00F07AF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A14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9,</w:t>
            </w:r>
            <w:r w:rsidR="00FF4E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72</w:t>
            </w:r>
          </w:p>
        </w:tc>
      </w:tr>
    </w:tbl>
    <w:p w:rsidR="00443919" w:rsidRDefault="00443919" w:rsidP="00443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354E2E" w:rsidRDefault="00354E2E" w:rsidP="00354E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54E2E" w:rsidRDefault="00354E2E" w:rsidP="00354E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47024" w:rsidRDefault="00047024" w:rsidP="000470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este mes de análisis, </w:t>
      </w:r>
      <w:r w:rsidR="00B90B98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áreas o dependencias de la CVP atendieron las </w:t>
      </w:r>
      <w:r w:rsidR="00B90B98">
        <w:rPr>
          <w:rFonts w:ascii="Arial" w:hAnsi="Arial" w:cs="Arial"/>
          <w:sz w:val="24"/>
          <w:szCs w:val="24"/>
          <w:lang w:val="es-ES"/>
        </w:rPr>
        <w:t>356</w:t>
      </w:r>
      <w:r>
        <w:rPr>
          <w:rFonts w:ascii="Arial" w:hAnsi="Arial" w:cs="Arial"/>
          <w:sz w:val="24"/>
          <w:szCs w:val="24"/>
          <w:lang w:val="es-ES"/>
        </w:rPr>
        <w:t xml:space="preserve"> PQRSD solucionadas. En donde </w:t>
      </w:r>
      <w:r w:rsidR="00B90B98">
        <w:rPr>
          <w:rFonts w:ascii="Arial" w:hAnsi="Arial" w:cs="Arial"/>
          <w:sz w:val="24"/>
          <w:szCs w:val="24"/>
          <w:lang w:val="es-ES"/>
        </w:rPr>
        <w:t xml:space="preserve">la Subdirección Financiera </w:t>
      </w:r>
      <w:r>
        <w:rPr>
          <w:rFonts w:ascii="Arial" w:hAnsi="Arial" w:cs="Arial"/>
          <w:sz w:val="24"/>
          <w:szCs w:val="24"/>
          <w:lang w:val="es-ES"/>
        </w:rPr>
        <w:t xml:space="preserve">fue la que mejor desempeño obtuvo con la emisión de respuesta, obteniendo un tiempo promedio de </w:t>
      </w:r>
      <w:r w:rsidR="00B90B98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B90B98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7 días hábiles y la </w:t>
      </w:r>
      <w:r w:rsidR="00B90B98" w:rsidRPr="00B90B98">
        <w:rPr>
          <w:rFonts w:ascii="Arial" w:hAnsi="Arial" w:cs="Arial"/>
          <w:sz w:val="24"/>
          <w:szCs w:val="24"/>
          <w:lang w:val="es-ES"/>
        </w:rPr>
        <w:t>Dirección de Urbanizaciones y Titulación</w:t>
      </w:r>
      <w:r w:rsidR="00B90B9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fue la que empleo un mayor tiempo para dar respuesta, con un promedio de </w:t>
      </w:r>
      <w:r w:rsidR="00B90B98" w:rsidRPr="00B90B98">
        <w:rPr>
          <w:rFonts w:ascii="Arial" w:hAnsi="Arial" w:cs="Arial"/>
          <w:sz w:val="24"/>
          <w:szCs w:val="24"/>
          <w:lang w:val="es-ES"/>
        </w:rPr>
        <w:t>11,92</w:t>
      </w:r>
      <w:r>
        <w:rPr>
          <w:rFonts w:ascii="Arial" w:hAnsi="Arial" w:cs="Arial"/>
          <w:sz w:val="24"/>
          <w:szCs w:val="24"/>
          <w:lang w:val="es-ES"/>
        </w:rPr>
        <w:t xml:space="preserve"> días hábiles.</w:t>
      </w:r>
    </w:p>
    <w:p w:rsidR="00047024" w:rsidRDefault="00047024" w:rsidP="000470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47024" w:rsidRDefault="00BB750E" w:rsidP="000470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="00047024">
        <w:rPr>
          <w:rFonts w:ascii="Arial" w:hAnsi="Arial" w:cs="Arial"/>
          <w:sz w:val="24"/>
          <w:szCs w:val="24"/>
          <w:lang w:val="es-ES"/>
        </w:rPr>
        <w:t xml:space="preserve">ara este mes se atendieron </w:t>
      </w:r>
      <w:r>
        <w:rPr>
          <w:rFonts w:ascii="Arial" w:hAnsi="Arial" w:cs="Arial"/>
          <w:sz w:val="24"/>
          <w:szCs w:val="24"/>
          <w:lang w:val="es-ES"/>
        </w:rPr>
        <w:t>las 9 tipologías de PQRSD</w:t>
      </w:r>
      <w:r w:rsidR="00047024">
        <w:rPr>
          <w:rFonts w:ascii="Arial" w:hAnsi="Arial" w:cs="Arial"/>
          <w:sz w:val="24"/>
          <w:szCs w:val="24"/>
          <w:lang w:val="es-ES"/>
        </w:rPr>
        <w:t xml:space="preserve">; de las cuales, la “Consulta” fue la que alcanzo un mayor ahorro en días para su respuesta. Con una eficiencia del </w:t>
      </w:r>
      <w:r w:rsidR="00E6155D">
        <w:rPr>
          <w:rFonts w:ascii="Arial" w:hAnsi="Arial" w:cs="Arial"/>
          <w:sz w:val="24"/>
          <w:szCs w:val="24"/>
          <w:lang w:val="es-ES"/>
        </w:rPr>
        <w:t>71</w:t>
      </w:r>
      <w:r w:rsidR="00047024">
        <w:rPr>
          <w:rFonts w:ascii="Arial" w:hAnsi="Arial" w:cs="Arial"/>
          <w:sz w:val="24"/>
          <w:szCs w:val="24"/>
          <w:lang w:val="es-ES"/>
        </w:rPr>
        <w:t>,</w:t>
      </w:r>
      <w:r w:rsidR="00E6155D">
        <w:rPr>
          <w:rFonts w:ascii="Arial" w:hAnsi="Arial" w:cs="Arial"/>
          <w:sz w:val="24"/>
          <w:szCs w:val="24"/>
          <w:lang w:val="es-ES"/>
        </w:rPr>
        <w:t>11</w:t>
      </w:r>
      <w:r w:rsidR="00047024">
        <w:rPr>
          <w:rFonts w:ascii="Arial" w:hAnsi="Arial" w:cs="Arial"/>
          <w:sz w:val="24"/>
          <w:szCs w:val="24"/>
          <w:lang w:val="es-ES"/>
        </w:rPr>
        <w:t>%</w:t>
      </w:r>
      <w:r w:rsidR="005B2D4C">
        <w:rPr>
          <w:rFonts w:ascii="Arial" w:hAnsi="Arial" w:cs="Arial"/>
          <w:sz w:val="24"/>
          <w:szCs w:val="24"/>
          <w:lang w:val="es-ES"/>
        </w:rPr>
        <w:t xml:space="preserve"> (21,33 días h</w:t>
      </w:r>
      <w:r w:rsidR="00D025C4">
        <w:rPr>
          <w:rFonts w:ascii="Arial" w:hAnsi="Arial" w:cs="Arial"/>
          <w:sz w:val="24"/>
          <w:szCs w:val="24"/>
          <w:lang w:val="es-ES"/>
        </w:rPr>
        <w:t>á</w:t>
      </w:r>
      <w:r w:rsidR="005B2D4C">
        <w:rPr>
          <w:rFonts w:ascii="Arial" w:hAnsi="Arial" w:cs="Arial"/>
          <w:sz w:val="24"/>
          <w:szCs w:val="24"/>
          <w:lang w:val="es-ES"/>
        </w:rPr>
        <w:t>biles)</w:t>
      </w:r>
      <w:r w:rsidR="00047024">
        <w:rPr>
          <w:rFonts w:ascii="Arial" w:hAnsi="Arial" w:cs="Arial"/>
          <w:sz w:val="24"/>
          <w:szCs w:val="24"/>
          <w:lang w:val="es-ES"/>
        </w:rPr>
        <w:t xml:space="preserve">, frente al límite de 30 días hábiles que tenían.  </w:t>
      </w:r>
    </w:p>
    <w:p w:rsidR="00047024" w:rsidRDefault="00047024" w:rsidP="000470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54E2E" w:rsidRDefault="00354E2E" w:rsidP="00137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13EA8" w:rsidRPr="00213EA8" w:rsidRDefault="005A33A3" w:rsidP="00081727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7" w:name="_Toc520871359"/>
      <w:bookmarkStart w:id="8" w:name="_Toc520889933"/>
      <w:r w:rsidRPr="004D6E10">
        <w:rPr>
          <w:rFonts w:cs="Arial"/>
          <w:szCs w:val="24"/>
          <w:lang w:val="es-ES"/>
        </w:rPr>
        <w:t xml:space="preserve">Análisis de las respuestas </w:t>
      </w:r>
      <w:r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>
        <w:rPr>
          <w:rFonts w:cs="Arial"/>
          <w:szCs w:val="24"/>
          <w:lang w:val="es-ES"/>
        </w:rPr>
        <w:t>o</w:t>
      </w:r>
      <w:r w:rsidRPr="00213EA8">
        <w:rPr>
          <w:rFonts w:cs="Arial"/>
          <w:szCs w:val="24"/>
          <w:lang w:val="es-ES"/>
        </w:rPr>
        <w:t>portun</w:t>
      </w:r>
      <w:r>
        <w:rPr>
          <w:rFonts w:cs="Arial"/>
          <w:szCs w:val="24"/>
          <w:lang w:val="es-ES"/>
        </w:rPr>
        <w:t>o</w:t>
      </w:r>
      <w:bookmarkEnd w:id="7"/>
      <w:bookmarkEnd w:id="8"/>
    </w:p>
    <w:p w:rsidR="00213EA8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A2FCC" w:rsidRDefault="007A2FCC" w:rsidP="007A2F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 las 356 (100%) PQRSD solucionadas en febrero, </w:t>
      </w:r>
      <w:r w:rsidR="002808FF">
        <w:rPr>
          <w:rFonts w:ascii="Arial" w:hAnsi="Arial" w:cs="Arial"/>
          <w:sz w:val="24"/>
          <w:szCs w:val="24"/>
          <w:lang w:val="es-ES"/>
        </w:rPr>
        <w:t>259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2808FF">
        <w:rPr>
          <w:rFonts w:ascii="Arial" w:hAnsi="Arial" w:cs="Arial"/>
          <w:sz w:val="24"/>
          <w:szCs w:val="24"/>
          <w:lang w:val="es-ES"/>
        </w:rPr>
        <w:t>72,75</w:t>
      </w:r>
      <w:r>
        <w:rPr>
          <w:rFonts w:ascii="Arial" w:hAnsi="Arial" w:cs="Arial"/>
          <w:sz w:val="24"/>
          <w:szCs w:val="24"/>
          <w:lang w:val="es-ES"/>
        </w:rPr>
        <w:t>%) corresponden a las que la ley determinaba que debían responderse en</w:t>
      </w:r>
      <w:r w:rsidR="002808FF">
        <w:rPr>
          <w:rFonts w:ascii="Arial" w:hAnsi="Arial" w:cs="Arial"/>
          <w:sz w:val="24"/>
          <w:szCs w:val="24"/>
          <w:lang w:val="es-ES"/>
        </w:rPr>
        <w:t xml:space="preserve"> febrero</w:t>
      </w:r>
      <w:r>
        <w:rPr>
          <w:rFonts w:ascii="Arial" w:hAnsi="Arial" w:cs="Arial"/>
          <w:sz w:val="24"/>
          <w:szCs w:val="24"/>
          <w:lang w:val="es-ES"/>
        </w:rPr>
        <w:t>. Y 7</w:t>
      </w:r>
      <w:r w:rsidR="00660940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="00660940">
        <w:rPr>
          <w:rFonts w:ascii="Arial" w:hAnsi="Arial" w:cs="Arial"/>
          <w:sz w:val="24"/>
          <w:szCs w:val="24"/>
          <w:lang w:val="es-ES"/>
        </w:rPr>
        <w:t>20,51</w:t>
      </w:r>
      <w:r>
        <w:rPr>
          <w:rFonts w:ascii="Arial" w:hAnsi="Arial" w:cs="Arial"/>
          <w:sz w:val="24"/>
          <w:szCs w:val="24"/>
          <w:lang w:val="es-ES"/>
        </w:rPr>
        <w:t>%)</w:t>
      </w:r>
      <w:r w:rsidRPr="00DF43D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se solucionaron de manera anticipada; así los términos de ley establecerían que podrían responderse en el(los) siguiente(s) mes(es).</w:t>
      </w:r>
    </w:p>
    <w:p w:rsidR="007A2FCC" w:rsidRDefault="007A2FCC" w:rsidP="007A2F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A2FCC" w:rsidRDefault="007A2FCC" w:rsidP="007A2F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Del total de </w:t>
      </w:r>
      <w:r w:rsidR="00B92E16">
        <w:rPr>
          <w:rFonts w:ascii="Arial" w:hAnsi="Arial" w:cs="Arial"/>
          <w:sz w:val="24"/>
          <w:szCs w:val="24"/>
          <w:lang w:val="es-ES"/>
        </w:rPr>
        <w:t xml:space="preserve">PQRSD </w:t>
      </w:r>
      <w:r>
        <w:rPr>
          <w:rFonts w:ascii="Arial" w:hAnsi="Arial" w:cs="Arial"/>
          <w:sz w:val="24"/>
          <w:szCs w:val="24"/>
          <w:lang w:val="es-ES"/>
        </w:rPr>
        <w:t xml:space="preserve">solucionadas en </w:t>
      </w:r>
      <w:r w:rsidR="00B92E16">
        <w:rPr>
          <w:rFonts w:ascii="Arial" w:hAnsi="Arial" w:cs="Arial"/>
          <w:sz w:val="24"/>
          <w:szCs w:val="24"/>
          <w:lang w:val="es-ES"/>
        </w:rPr>
        <w:t>febrero</w:t>
      </w:r>
      <w:r>
        <w:rPr>
          <w:rFonts w:ascii="Arial" w:hAnsi="Arial" w:cs="Arial"/>
          <w:sz w:val="24"/>
          <w:szCs w:val="24"/>
          <w:lang w:val="es-ES"/>
        </w:rPr>
        <w:t xml:space="preserve">, la tipología más gestionada fueron los Derechos de Petición de Interés Particular con un </w:t>
      </w:r>
      <w:r w:rsidR="00B92E16">
        <w:rPr>
          <w:rFonts w:ascii="Arial" w:hAnsi="Arial" w:cs="Arial"/>
          <w:sz w:val="24"/>
          <w:szCs w:val="24"/>
          <w:lang w:val="es-ES"/>
        </w:rPr>
        <w:t>total de 313 (87,92%); y</w:t>
      </w:r>
      <w:r>
        <w:rPr>
          <w:rFonts w:ascii="Arial" w:hAnsi="Arial" w:cs="Arial"/>
          <w:sz w:val="24"/>
          <w:szCs w:val="24"/>
          <w:lang w:val="es-ES"/>
        </w:rPr>
        <w:t xml:space="preserve"> la dependencia que más gestiono </w:t>
      </w:r>
      <w:r w:rsidR="00B92E16">
        <w:rPr>
          <w:rFonts w:ascii="Arial" w:hAnsi="Arial" w:cs="Arial"/>
          <w:sz w:val="24"/>
          <w:szCs w:val="24"/>
          <w:lang w:val="es-ES"/>
        </w:rPr>
        <w:t xml:space="preserve">las respuestas </w:t>
      </w:r>
      <w:r>
        <w:rPr>
          <w:rFonts w:ascii="Arial" w:hAnsi="Arial" w:cs="Arial"/>
          <w:sz w:val="24"/>
          <w:szCs w:val="24"/>
          <w:lang w:val="es-ES"/>
        </w:rPr>
        <w:t xml:space="preserve">de PQRSD fue la Dirección de Reasentamientos Humanos con un total de </w:t>
      </w:r>
      <w:r w:rsidR="00B92E16">
        <w:rPr>
          <w:rFonts w:ascii="Arial" w:hAnsi="Arial" w:cs="Arial"/>
          <w:sz w:val="24"/>
          <w:szCs w:val="24"/>
          <w:lang w:val="es-ES"/>
        </w:rPr>
        <w:t xml:space="preserve">143 </w:t>
      </w:r>
      <w:r>
        <w:rPr>
          <w:rFonts w:ascii="Arial" w:hAnsi="Arial" w:cs="Arial"/>
          <w:sz w:val="24"/>
          <w:szCs w:val="24"/>
          <w:lang w:val="es-ES"/>
        </w:rPr>
        <w:t>(</w:t>
      </w:r>
      <w:r w:rsidR="008B4A8E">
        <w:rPr>
          <w:rFonts w:ascii="Arial" w:hAnsi="Arial" w:cs="Arial"/>
          <w:sz w:val="24"/>
          <w:szCs w:val="24"/>
          <w:lang w:val="es-ES"/>
        </w:rPr>
        <w:t>40,17</w:t>
      </w:r>
      <w:r>
        <w:rPr>
          <w:rFonts w:ascii="Arial" w:hAnsi="Arial" w:cs="Arial"/>
          <w:sz w:val="24"/>
          <w:szCs w:val="24"/>
          <w:lang w:val="es-ES"/>
        </w:rPr>
        <w:t xml:space="preserve">%). </w:t>
      </w:r>
      <w:r w:rsidR="008269A4">
        <w:rPr>
          <w:rFonts w:ascii="Arial" w:hAnsi="Arial" w:cs="Arial"/>
          <w:sz w:val="24"/>
          <w:szCs w:val="24"/>
          <w:lang w:val="es-ES"/>
        </w:rPr>
        <w:t xml:space="preserve">Se debe destacar dos aspectos de </w:t>
      </w:r>
      <w:r>
        <w:rPr>
          <w:rFonts w:ascii="Arial" w:hAnsi="Arial" w:cs="Arial"/>
          <w:sz w:val="24"/>
          <w:szCs w:val="24"/>
          <w:lang w:val="es-ES"/>
        </w:rPr>
        <w:t>la dependencia mencionada anteriormente</w:t>
      </w:r>
      <w:r w:rsidR="008269A4">
        <w:rPr>
          <w:rFonts w:ascii="Arial" w:hAnsi="Arial" w:cs="Arial"/>
          <w:sz w:val="24"/>
          <w:szCs w:val="24"/>
          <w:lang w:val="es-ES"/>
        </w:rPr>
        <w:t xml:space="preserve">, primero, de las 108 PQRSD que debía atender en febrero, alcanzo un cumplimiento del 100%; y segundo, que logro, </w:t>
      </w:r>
      <w:r w:rsidR="005452D2">
        <w:rPr>
          <w:rFonts w:ascii="Arial" w:hAnsi="Arial" w:cs="Arial"/>
          <w:sz w:val="24"/>
          <w:szCs w:val="24"/>
          <w:lang w:val="es-ES"/>
        </w:rPr>
        <w:t xml:space="preserve">una </w:t>
      </w:r>
      <w:r>
        <w:rPr>
          <w:rFonts w:ascii="Arial" w:hAnsi="Arial" w:cs="Arial"/>
          <w:sz w:val="24"/>
          <w:szCs w:val="24"/>
          <w:lang w:val="es-ES"/>
        </w:rPr>
        <w:t>eficiencia del 1</w:t>
      </w:r>
      <w:r w:rsidR="001C2B0D">
        <w:rPr>
          <w:rFonts w:ascii="Arial" w:hAnsi="Arial" w:cs="Arial"/>
          <w:sz w:val="24"/>
          <w:szCs w:val="24"/>
          <w:lang w:val="es-ES"/>
        </w:rPr>
        <w:t>31,19</w:t>
      </w:r>
      <w:r>
        <w:rPr>
          <w:rFonts w:ascii="Arial" w:hAnsi="Arial" w:cs="Arial"/>
          <w:sz w:val="24"/>
          <w:szCs w:val="24"/>
          <w:lang w:val="es-ES"/>
        </w:rPr>
        <w:t xml:space="preserve">% en la solución de </w:t>
      </w:r>
      <w:r w:rsidR="008269A4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="008269A4">
        <w:rPr>
          <w:rFonts w:ascii="Arial" w:hAnsi="Arial" w:cs="Arial"/>
          <w:sz w:val="24"/>
          <w:szCs w:val="24"/>
          <w:lang w:val="es-ES"/>
        </w:rPr>
        <w:t xml:space="preserve"> para </w:t>
      </w:r>
      <w:r w:rsidR="00EC39A5">
        <w:rPr>
          <w:rFonts w:ascii="Arial" w:hAnsi="Arial" w:cs="Arial"/>
          <w:sz w:val="24"/>
          <w:szCs w:val="24"/>
          <w:lang w:val="es-ES"/>
        </w:rPr>
        <w:t>febrero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F3321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A2FCC" w:rsidRDefault="007A2FCC" w:rsidP="007A2F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83AEF" w:rsidRDefault="00183AEF" w:rsidP="007A2F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A608E" w:rsidRDefault="001A608E" w:rsidP="00CA1446">
      <w:pPr>
        <w:pStyle w:val="Ttulo2"/>
        <w:spacing w:before="0" w:after="0" w:line="240" w:lineRule="auto"/>
        <w:jc w:val="both"/>
      </w:pPr>
      <w:bookmarkStart w:id="9" w:name="_Toc520889934"/>
      <w:r w:rsidRPr="004D6E10">
        <w:rPr>
          <w:rFonts w:cs="Arial"/>
          <w:szCs w:val="24"/>
          <w:lang w:val="es-ES"/>
        </w:rPr>
        <w:t xml:space="preserve">Análisis de las respuestas </w:t>
      </w:r>
      <w:r w:rsidR="00406DCF">
        <w:rPr>
          <w:rFonts w:cs="Arial"/>
          <w:szCs w:val="24"/>
          <w:lang w:val="es-ES"/>
        </w:rPr>
        <w:t xml:space="preserve">con </w:t>
      </w:r>
      <w:r w:rsidRPr="004D6E10">
        <w:rPr>
          <w:rFonts w:cs="Arial"/>
          <w:szCs w:val="24"/>
          <w:lang w:val="es-ES"/>
        </w:rPr>
        <w:t>cierre</w:t>
      </w:r>
      <w:r>
        <w:t xml:space="preserve"> </w:t>
      </w:r>
      <w:r w:rsidR="00406DCF">
        <w:t>ino</w:t>
      </w:r>
      <w:r>
        <w:t>portuno</w:t>
      </w:r>
      <w:bookmarkEnd w:id="9"/>
      <w:r>
        <w:t xml:space="preserve"> </w:t>
      </w:r>
    </w:p>
    <w:p w:rsidR="00AF3F1D" w:rsidRDefault="00AF3F1D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2429D" w:rsidRDefault="00E936F7" w:rsidP="00E936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el mes de febrero de 2018, se identificaron que </w:t>
      </w:r>
      <w:r w:rsidR="005431C6">
        <w:rPr>
          <w:rFonts w:ascii="Arial" w:hAnsi="Arial" w:cs="Arial"/>
          <w:sz w:val="24"/>
          <w:szCs w:val="24"/>
          <w:lang w:val="es-ES_tradnl"/>
        </w:rPr>
        <w:t>24</w:t>
      </w:r>
      <w:r>
        <w:rPr>
          <w:rFonts w:ascii="Arial" w:hAnsi="Arial" w:cs="Arial"/>
          <w:sz w:val="24"/>
          <w:szCs w:val="24"/>
          <w:lang w:val="es-ES_tradnl"/>
        </w:rPr>
        <w:t xml:space="preserve"> PQRSD que no fueron solucionadas a tiempo. De ellas, </w:t>
      </w:r>
      <w:r w:rsidR="0042429D">
        <w:rPr>
          <w:rFonts w:ascii="Arial" w:hAnsi="Arial" w:cs="Arial"/>
          <w:sz w:val="24"/>
          <w:szCs w:val="24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 xml:space="preserve"> se </w:t>
      </w:r>
      <w:r w:rsidR="00C83067">
        <w:rPr>
          <w:rFonts w:ascii="Arial" w:hAnsi="Arial" w:cs="Arial"/>
          <w:sz w:val="24"/>
          <w:szCs w:val="24"/>
          <w:lang w:val="es-ES_tradnl"/>
        </w:rPr>
        <w:t xml:space="preserve">respondieron </w:t>
      </w:r>
      <w:r>
        <w:rPr>
          <w:rFonts w:ascii="Arial" w:hAnsi="Arial" w:cs="Arial"/>
          <w:sz w:val="24"/>
          <w:szCs w:val="24"/>
          <w:lang w:val="es-ES_tradnl"/>
        </w:rPr>
        <w:t>extemporáneamente</w:t>
      </w:r>
      <w:r w:rsidR="0042429D">
        <w:rPr>
          <w:rFonts w:ascii="Arial" w:hAnsi="Arial" w:cs="Arial"/>
          <w:sz w:val="24"/>
          <w:szCs w:val="24"/>
          <w:lang w:val="es-ES_tradnl"/>
        </w:rPr>
        <w:t xml:space="preserve"> ya que debieron haberse solucionado en el mes de enero. Y las restantes 21</w:t>
      </w:r>
      <w:r w:rsidR="00C83067">
        <w:rPr>
          <w:rFonts w:ascii="Arial" w:hAnsi="Arial" w:cs="Arial"/>
          <w:sz w:val="24"/>
          <w:szCs w:val="24"/>
          <w:lang w:val="es-ES_tradnl"/>
        </w:rPr>
        <w:t xml:space="preserve">, aunque se </w:t>
      </w:r>
      <w:r w:rsidR="0042429D">
        <w:rPr>
          <w:rFonts w:ascii="Arial" w:hAnsi="Arial" w:cs="Arial"/>
          <w:sz w:val="24"/>
          <w:szCs w:val="24"/>
          <w:lang w:val="es-ES_tradnl"/>
        </w:rPr>
        <w:t xml:space="preserve">solucionaron </w:t>
      </w:r>
      <w:r w:rsidR="00C83067">
        <w:rPr>
          <w:rFonts w:ascii="Arial" w:hAnsi="Arial" w:cs="Arial"/>
          <w:sz w:val="24"/>
          <w:szCs w:val="24"/>
          <w:lang w:val="es-ES_tradnl"/>
        </w:rPr>
        <w:t>en e</w:t>
      </w:r>
      <w:r w:rsidR="0042429D">
        <w:rPr>
          <w:rFonts w:ascii="Arial" w:hAnsi="Arial" w:cs="Arial"/>
          <w:sz w:val="24"/>
          <w:szCs w:val="24"/>
          <w:lang w:val="es-ES_tradnl"/>
        </w:rPr>
        <w:t xml:space="preserve">l mes de febrero, </w:t>
      </w:r>
      <w:r w:rsidR="00C83067">
        <w:rPr>
          <w:rFonts w:ascii="Arial" w:hAnsi="Arial" w:cs="Arial"/>
          <w:sz w:val="24"/>
          <w:szCs w:val="24"/>
          <w:lang w:val="es-ES_tradnl"/>
        </w:rPr>
        <w:t xml:space="preserve">la respuesta estuvo por </w:t>
      </w:r>
      <w:r w:rsidR="0042429D">
        <w:rPr>
          <w:rFonts w:ascii="Arial" w:hAnsi="Arial" w:cs="Arial"/>
          <w:sz w:val="24"/>
          <w:szCs w:val="24"/>
          <w:lang w:val="es-ES_tradnl"/>
        </w:rPr>
        <w:t>fuera de los t</w:t>
      </w:r>
      <w:r w:rsidR="00C83067">
        <w:rPr>
          <w:rFonts w:ascii="Arial" w:hAnsi="Arial" w:cs="Arial"/>
          <w:sz w:val="24"/>
          <w:szCs w:val="24"/>
          <w:lang w:val="es-ES_tradnl"/>
        </w:rPr>
        <w:t xml:space="preserve">iempos </w:t>
      </w:r>
      <w:r w:rsidR="0042429D">
        <w:rPr>
          <w:rFonts w:ascii="Arial" w:hAnsi="Arial" w:cs="Arial"/>
          <w:sz w:val="24"/>
          <w:szCs w:val="24"/>
          <w:lang w:val="es-ES_tradnl"/>
        </w:rPr>
        <w:t>que indica la ley.</w:t>
      </w:r>
    </w:p>
    <w:p w:rsidR="0042429D" w:rsidRDefault="0042429D" w:rsidP="00E936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936F7" w:rsidRPr="001D0527" w:rsidRDefault="00364C6F" w:rsidP="00E936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la anterior tabl</w:t>
      </w:r>
      <w:r w:rsidR="002860D9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(No. 2</w:t>
      </w:r>
      <w:r w:rsidR="00E936F7">
        <w:rPr>
          <w:rFonts w:ascii="Arial" w:hAnsi="Arial" w:cs="Arial"/>
          <w:sz w:val="24"/>
          <w:szCs w:val="24"/>
          <w:lang w:val="es-ES"/>
        </w:rPr>
        <w:t xml:space="preserve"> 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Tiempo Promedio </w:t>
      </w:r>
      <w:r>
        <w:rPr>
          <w:rFonts w:ascii="Arial" w:hAnsi="Arial" w:cs="Arial"/>
          <w:sz w:val="24"/>
          <w:szCs w:val="24"/>
          <w:lang w:val="es-ES"/>
        </w:rPr>
        <w:t>d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e Respuesta 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364C6F">
        <w:rPr>
          <w:rFonts w:ascii="Arial" w:hAnsi="Arial" w:cs="Arial"/>
          <w:sz w:val="24"/>
          <w:szCs w:val="24"/>
          <w:lang w:val="es-ES"/>
        </w:rPr>
        <w:t xml:space="preserve"> PQRSD</w:t>
      </w:r>
      <w:r>
        <w:rPr>
          <w:rFonts w:ascii="Arial" w:hAnsi="Arial" w:cs="Arial"/>
          <w:sz w:val="24"/>
          <w:szCs w:val="24"/>
          <w:lang w:val="es-ES"/>
        </w:rPr>
        <w:t>)</w:t>
      </w:r>
      <w:r w:rsidR="002860D9">
        <w:rPr>
          <w:rFonts w:ascii="Arial" w:hAnsi="Arial" w:cs="Arial"/>
          <w:sz w:val="24"/>
          <w:szCs w:val="24"/>
          <w:lang w:val="es-ES"/>
        </w:rPr>
        <w:t xml:space="preserve">, se puede </w:t>
      </w:r>
      <w:r w:rsidR="00E936F7">
        <w:rPr>
          <w:rFonts w:ascii="Arial" w:hAnsi="Arial" w:cs="Arial"/>
          <w:sz w:val="24"/>
          <w:szCs w:val="24"/>
          <w:lang w:val="es-ES"/>
        </w:rPr>
        <w:t xml:space="preserve">identificar que existieron tiempos inoportunos en las respuestas a la PQRSD en 2 </w:t>
      </w:r>
      <w:r w:rsidR="00E936F7">
        <w:rPr>
          <w:rFonts w:ascii="Arial" w:hAnsi="Arial" w:cs="Arial"/>
          <w:sz w:val="24"/>
          <w:szCs w:val="24"/>
          <w:lang w:val="es-ES"/>
        </w:rPr>
        <w:lastRenderedPageBreak/>
        <w:t xml:space="preserve">tipologías y </w:t>
      </w:r>
      <w:r w:rsidR="002860D9">
        <w:rPr>
          <w:rFonts w:ascii="Arial" w:hAnsi="Arial" w:cs="Arial"/>
          <w:sz w:val="24"/>
          <w:szCs w:val="24"/>
          <w:lang w:val="es-ES"/>
        </w:rPr>
        <w:t>3</w:t>
      </w:r>
      <w:r w:rsidR="00E936F7">
        <w:rPr>
          <w:rFonts w:ascii="Arial" w:hAnsi="Arial" w:cs="Arial"/>
          <w:sz w:val="24"/>
          <w:szCs w:val="24"/>
          <w:lang w:val="es-ES"/>
        </w:rPr>
        <w:t xml:space="preserve"> dependencias. Las cuales se excedieron en un 1</w:t>
      </w:r>
      <w:r w:rsidR="00181833">
        <w:rPr>
          <w:rFonts w:ascii="Arial" w:hAnsi="Arial" w:cs="Arial"/>
          <w:sz w:val="24"/>
          <w:szCs w:val="24"/>
          <w:lang w:val="es-ES"/>
        </w:rPr>
        <w:t>25,71</w:t>
      </w:r>
      <w:r w:rsidR="00E936F7">
        <w:rPr>
          <w:rFonts w:ascii="Arial" w:hAnsi="Arial" w:cs="Arial"/>
          <w:sz w:val="24"/>
          <w:szCs w:val="24"/>
          <w:lang w:val="es-ES"/>
        </w:rPr>
        <w:t xml:space="preserve">% los tiempos máximos que la Ley 1755 de 2015 permite para dar respuesta. </w:t>
      </w:r>
    </w:p>
    <w:p w:rsidR="00E936F7" w:rsidRDefault="00E936F7" w:rsidP="00E936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36F7" w:rsidRDefault="00E936F7" w:rsidP="00E936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95FCC">
        <w:rPr>
          <w:rFonts w:ascii="Arial" w:hAnsi="Arial" w:cs="Arial"/>
          <w:sz w:val="24"/>
          <w:szCs w:val="24"/>
          <w:lang w:val="es-ES_tradnl"/>
        </w:rPr>
        <w:t>24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56998">
        <w:rPr>
          <w:rFonts w:ascii="Arial" w:hAnsi="Arial" w:cs="Arial"/>
          <w:sz w:val="24"/>
          <w:szCs w:val="24"/>
          <w:lang w:val="es-ES_tradnl"/>
        </w:rPr>
        <w:t xml:space="preserve">(100%) </w:t>
      </w:r>
      <w:r>
        <w:rPr>
          <w:rFonts w:ascii="Arial" w:hAnsi="Arial" w:cs="Arial"/>
          <w:sz w:val="24"/>
          <w:szCs w:val="24"/>
          <w:lang w:val="es-ES_tradnl"/>
        </w:rPr>
        <w:t xml:space="preserve">PQRSD con tiempos inoportunos, el área con mayor número de casos es la Dirección de </w:t>
      </w:r>
      <w:r w:rsidR="006C4ECD">
        <w:rPr>
          <w:rFonts w:ascii="Arial" w:hAnsi="Arial" w:cs="Arial"/>
          <w:sz w:val="24"/>
          <w:szCs w:val="24"/>
          <w:lang w:val="es-ES_tradnl"/>
        </w:rPr>
        <w:t xml:space="preserve">Urbanizaciones y Titulación </w:t>
      </w:r>
      <w:r>
        <w:rPr>
          <w:rFonts w:ascii="Arial" w:hAnsi="Arial" w:cs="Arial"/>
          <w:sz w:val="24"/>
          <w:szCs w:val="24"/>
          <w:lang w:val="es-ES_tradnl"/>
        </w:rPr>
        <w:t xml:space="preserve">con </w:t>
      </w:r>
      <w:r w:rsidR="006C4ECD">
        <w:rPr>
          <w:rFonts w:ascii="Arial" w:hAnsi="Arial" w:cs="Arial"/>
          <w:sz w:val="24"/>
          <w:szCs w:val="24"/>
          <w:lang w:val="es-ES_tradnl"/>
        </w:rPr>
        <w:t>13</w:t>
      </w:r>
      <w:r w:rsidR="00F56998">
        <w:rPr>
          <w:rFonts w:ascii="Arial" w:hAnsi="Arial" w:cs="Arial"/>
          <w:sz w:val="24"/>
          <w:szCs w:val="24"/>
          <w:lang w:val="es-ES_tradnl"/>
        </w:rPr>
        <w:t xml:space="preserve"> (54,17%)</w:t>
      </w:r>
      <w:r>
        <w:rPr>
          <w:rFonts w:ascii="Arial" w:hAnsi="Arial" w:cs="Arial"/>
          <w:sz w:val="24"/>
          <w:szCs w:val="24"/>
          <w:lang w:val="es-ES_tradnl"/>
        </w:rPr>
        <w:t xml:space="preserve">. Y frente a la tipología que más casos presento incumplimiento, fue los Derechos de Petición de Interés Particular con </w:t>
      </w:r>
      <w:r w:rsidR="00D20B06">
        <w:rPr>
          <w:rFonts w:ascii="Arial" w:hAnsi="Arial" w:cs="Arial"/>
          <w:sz w:val="24"/>
          <w:szCs w:val="24"/>
          <w:lang w:val="es-ES_tradnl"/>
        </w:rPr>
        <w:t>17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24607">
        <w:rPr>
          <w:rFonts w:ascii="Arial" w:hAnsi="Arial" w:cs="Arial"/>
          <w:sz w:val="24"/>
          <w:szCs w:val="24"/>
          <w:lang w:val="es-ES_tradnl"/>
        </w:rPr>
        <w:t xml:space="preserve">(70,83%) </w:t>
      </w:r>
      <w:r>
        <w:rPr>
          <w:rFonts w:ascii="Arial" w:hAnsi="Arial" w:cs="Arial"/>
          <w:sz w:val="24"/>
          <w:szCs w:val="24"/>
          <w:lang w:val="es-ES_tradnl"/>
        </w:rPr>
        <w:t>casos.</w:t>
      </w:r>
    </w:p>
    <w:p w:rsidR="00E60C21" w:rsidRDefault="00E60C21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GridTable4Accent1"/>
        <w:tblW w:w="9495" w:type="dxa"/>
        <w:tblLook w:val="04A0" w:firstRow="1" w:lastRow="0" w:firstColumn="1" w:lastColumn="0" w:noHBand="0" w:noVBand="1"/>
      </w:tblPr>
      <w:tblGrid>
        <w:gridCol w:w="439"/>
        <w:gridCol w:w="1257"/>
        <w:gridCol w:w="1218"/>
        <w:gridCol w:w="1759"/>
        <w:gridCol w:w="705"/>
        <w:gridCol w:w="854"/>
        <w:gridCol w:w="1217"/>
        <w:gridCol w:w="1217"/>
        <w:gridCol w:w="809"/>
        <w:gridCol w:w="20"/>
      </w:tblGrid>
      <w:tr w:rsidR="0054661B" w:rsidRPr="003A4EDB" w:rsidTr="00546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10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54661B" w:rsidRPr="003A4EDB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</w:pPr>
            <w:r w:rsidRPr="002C0E13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 xml:space="preserve">TABLA No. </w:t>
            </w:r>
            <w:r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>3</w:t>
            </w:r>
            <w:r w:rsidRPr="002C0E13">
              <w:rPr>
                <w:rFonts w:ascii="Arial" w:eastAsia="Times New Roman" w:hAnsi="Arial" w:cs="Arial"/>
                <w:bCs w:val="0"/>
                <w:sz w:val="20"/>
                <w:szCs w:val="20"/>
                <w:lang w:eastAsia="es-CO"/>
              </w:rPr>
              <w:t xml:space="preserve"> – CIERRE INOPORTUNO DE LAS PQRSD</w:t>
            </w:r>
          </w:p>
        </w:tc>
      </w:tr>
      <w:tr w:rsidR="0054661B" w:rsidRPr="003A4EDB" w:rsidTr="0054661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trHeight w:val="2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54661B" w:rsidRPr="003A4EDB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#</w:t>
            </w:r>
          </w:p>
        </w:tc>
        <w:tc>
          <w:tcPr>
            <w:tcW w:w="125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textDirection w:val="btLr"/>
            <w:vAlign w:val="center"/>
          </w:tcPr>
          <w:p w:rsidR="0054661B" w:rsidRPr="003A4EDB" w:rsidRDefault="0054661B" w:rsidP="0054661B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DE INGRESO</w:t>
            </w:r>
          </w:p>
        </w:tc>
        <w:tc>
          <w:tcPr>
            <w:tcW w:w="121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textDirection w:val="btLr"/>
            <w:vAlign w:val="center"/>
          </w:tcPr>
          <w:p w:rsidR="0054661B" w:rsidRPr="003A4EDB" w:rsidRDefault="0054661B" w:rsidP="0054661B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SDQS</w:t>
            </w:r>
          </w:p>
        </w:tc>
        <w:tc>
          <w:tcPr>
            <w:tcW w:w="175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:rsidR="0054661B" w:rsidRPr="003A4EDB" w:rsidRDefault="0054661B" w:rsidP="0054661B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0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:rsidR="0054661B" w:rsidRPr="003A4EDB" w:rsidRDefault="0054661B" w:rsidP="0054661B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PQRSD</w:t>
            </w:r>
          </w:p>
        </w:tc>
        <w:tc>
          <w:tcPr>
            <w:tcW w:w="85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:rsidR="0054661B" w:rsidRDefault="0054661B" w:rsidP="0054661B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MAXIMO DE RESPUESTA</w:t>
            </w:r>
          </w:p>
          <w:p w:rsidR="0054661B" w:rsidRPr="003A4EDB" w:rsidRDefault="0054661B" w:rsidP="0054661B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(días hábiles)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:rsidR="0054661B" w:rsidRPr="003A4EDB" w:rsidRDefault="0054661B" w:rsidP="0054661B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LIMITE DE RESPUESTA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:rsidR="0054661B" w:rsidRPr="003A4EDB" w:rsidRDefault="0054661B" w:rsidP="0054661B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80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</w:tcPr>
          <w:p w:rsidR="0054661B" w:rsidRPr="003A4EDB" w:rsidRDefault="0054661B" w:rsidP="0054661B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 GESTIÓN (días h</w:t>
            </w:r>
            <w:r w:rsidRPr="003A4ED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  <w:t>á</w:t>
            </w:r>
            <w:r w:rsidRPr="003A4ED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biles)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DBE5F1" w:themeColor="accent1" w:themeTint="33"/>
            </w:tcBorders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5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29/01/2018</w:t>
            </w:r>
          </w:p>
        </w:tc>
        <w:tc>
          <w:tcPr>
            <w:tcW w:w="1218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192872018</w:t>
            </w:r>
          </w:p>
        </w:tc>
        <w:tc>
          <w:tcPr>
            <w:tcW w:w="1759" w:type="dxa"/>
            <w:tcBorders>
              <w:top w:val="single" w:sz="4" w:space="0" w:color="DBE5F1" w:themeColor="accent1" w:themeTint="33"/>
            </w:tcBorders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tcBorders>
              <w:top w:val="single" w:sz="4" w:space="0" w:color="DBE5F1" w:themeColor="accent1" w:themeTint="33"/>
            </w:tcBorders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tcBorders>
              <w:top w:val="single" w:sz="4" w:space="0" w:color="DBE5F1" w:themeColor="accent1" w:themeTint="33"/>
            </w:tcBorders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</w:tcBorders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19/02/2018</w:t>
            </w:r>
          </w:p>
        </w:tc>
        <w:tc>
          <w:tcPr>
            <w:tcW w:w="1217" w:type="dxa"/>
            <w:tcBorders>
              <w:top w:val="single" w:sz="4" w:space="0" w:color="DBE5F1" w:themeColor="accent1" w:themeTint="33"/>
            </w:tcBorders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20/02/2018</w:t>
            </w:r>
          </w:p>
        </w:tc>
        <w:tc>
          <w:tcPr>
            <w:tcW w:w="809" w:type="dxa"/>
            <w:tcBorders>
              <w:top w:val="single" w:sz="4" w:space="0" w:color="DBE5F1" w:themeColor="accent1" w:themeTint="33"/>
            </w:tcBorders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191832018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177212018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170412018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44202018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31/01/2018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44442018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31/01/2018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153362018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139202018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75762018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10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75802018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76392018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84862018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84962018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85272018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94442018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SAI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31/01/2018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106182018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106072018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18/01/2018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101932018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SAI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8/02/2018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362042018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SC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5/02/2018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263112018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5/02/2018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264452018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Dirección de urbanizaciones y </w:t>
            </w: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SC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22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6/02/2018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276152018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54661B" w:rsidRPr="00E24842" w:rsidTr="005466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6/02/2018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278262018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54661B" w:rsidRPr="00E24842" w:rsidTr="0054661B">
        <w:trPr>
          <w:gridAfter w:val="1"/>
          <w:wAfter w:w="20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Align w:val="center"/>
          </w:tcPr>
          <w:p w:rsidR="0054661B" w:rsidRPr="00E24842" w:rsidRDefault="0054661B" w:rsidP="005466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257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6/02/2018</w:t>
            </w:r>
          </w:p>
        </w:tc>
        <w:tc>
          <w:tcPr>
            <w:tcW w:w="1218" w:type="dxa"/>
            <w:noWrap/>
            <w:vAlign w:val="center"/>
            <w:hideMark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278112018</w:t>
            </w:r>
          </w:p>
        </w:tc>
        <w:tc>
          <w:tcPr>
            <w:tcW w:w="175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05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24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854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27/02/2018</w:t>
            </w:r>
          </w:p>
        </w:tc>
        <w:tc>
          <w:tcPr>
            <w:tcW w:w="1217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28/02/2018</w:t>
            </w:r>
          </w:p>
        </w:tc>
        <w:tc>
          <w:tcPr>
            <w:tcW w:w="809" w:type="dxa"/>
            <w:vAlign w:val="center"/>
          </w:tcPr>
          <w:p w:rsidR="0054661B" w:rsidRPr="005A1A41" w:rsidRDefault="0054661B" w:rsidP="005466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A1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</w:tbl>
    <w:p w:rsidR="00E60C21" w:rsidRDefault="00CA1446" w:rsidP="00CA14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E60C21" w:rsidRDefault="00E60C21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1603C" w:rsidRDefault="00FC3B46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anterior tabla nos permite concluir que las 24 PQRSD que tienen respuesta inoportuna, estas excedieron los límites de tiempo determinados por la ley en un 122,02% promedio.</w:t>
      </w:r>
    </w:p>
    <w:p w:rsidR="00FC3B46" w:rsidRDefault="00FC3B46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47BA6" w:rsidRDefault="00247BA6" w:rsidP="001A60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90636" w:rsidRPr="00390636" w:rsidRDefault="00390636" w:rsidP="00DA4E80">
      <w:pPr>
        <w:pStyle w:val="Ttulo2"/>
        <w:spacing w:before="0" w:after="0" w:line="240" w:lineRule="auto"/>
      </w:pPr>
      <w:bookmarkStart w:id="10" w:name="_Toc520889935"/>
      <w:r w:rsidRPr="00390636">
        <w:t>Cálculo del indicador</w:t>
      </w:r>
      <w:bookmarkEnd w:id="10"/>
    </w:p>
    <w:p w:rsidR="00390636" w:rsidRDefault="00390636" w:rsidP="00DA4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90636" w:rsidRDefault="00363ADF" w:rsidP="00390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indicador definido para m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edir el cumplimiento </w:t>
      </w:r>
      <w:r>
        <w:rPr>
          <w:rFonts w:ascii="Arial" w:hAnsi="Arial" w:cs="Arial"/>
          <w:sz w:val="24"/>
          <w:szCs w:val="24"/>
          <w:lang w:val="es-ES"/>
        </w:rPr>
        <w:t xml:space="preserve">en las </w:t>
      </w:r>
      <w:r w:rsidRPr="009F1DCA">
        <w:rPr>
          <w:rFonts w:ascii="Arial" w:hAnsi="Arial" w:cs="Arial"/>
          <w:sz w:val="24"/>
          <w:szCs w:val="24"/>
          <w:lang w:val="es-ES"/>
        </w:rPr>
        <w:t>respuesta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  <w:lang w:val="es-ES"/>
        </w:rPr>
        <w:t>PQRSD</w:t>
      </w:r>
      <w:r w:rsidRPr="009F1DCA">
        <w:rPr>
          <w:rFonts w:ascii="Arial" w:hAnsi="Arial" w:cs="Arial"/>
          <w:sz w:val="24"/>
          <w:szCs w:val="24"/>
          <w:lang w:val="es-ES"/>
        </w:rPr>
        <w:t xml:space="preserve"> interpuestas </w:t>
      </w:r>
      <w:r>
        <w:rPr>
          <w:rFonts w:ascii="Arial" w:hAnsi="Arial" w:cs="Arial"/>
          <w:sz w:val="24"/>
          <w:szCs w:val="24"/>
          <w:lang w:val="es-ES"/>
        </w:rPr>
        <w:t xml:space="preserve">por el </w:t>
      </w:r>
      <w:r w:rsidRPr="009F1DCA">
        <w:rPr>
          <w:rFonts w:ascii="Arial" w:hAnsi="Arial" w:cs="Arial"/>
          <w:sz w:val="24"/>
          <w:szCs w:val="24"/>
          <w:lang w:val="es-ES"/>
        </w:rPr>
        <w:t>Ciudadano</w:t>
      </w:r>
      <w:r>
        <w:rPr>
          <w:rFonts w:ascii="Arial" w:hAnsi="Arial" w:cs="Arial"/>
          <w:sz w:val="24"/>
          <w:szCs w:val="24"/>
          <w:lang w:val="es-ES"/>
        </w:rPr>
        <w:t xml:space="preserve"> por parte de la CVP, es del tipo de Eficacia, el cual se calcula de la siguiente forma:</w:t>
      </w:r>
    </w:p>
    <w:p w:rsidR="00363ADF" w:rsidRDefault="00363ADF" w:rsidP="0039063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14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522"/>
      </w:tblGrid>
      <w:tr w:rsidR="00C81EFA" w:rsidRPr="00213EA8" w:rsidTr="00C8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C81EFA" w:rsidRPr="002849DE" w:rsidRDefault="005C4E4E" w:rsidP="00C555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eastAsia="es-CO"/>
              </w:rPr>
              <w:t xml:space="preserve">TABLA No. </w:t>
            </w:r>
            <w:r w:rsidR="00C73631">
              <w:rPr>
                <w:rFonts w:ascii="Arial" w:hAnsi="Arial" w:cs="Arial"/>
                <w:sz w:val="20"/>
                <w:szCs w:val="20"/>
                <w:lang w:eastAsia="es-CO"/>
              </w:rPr>
              <w:t>4</w:t>
            </w:r>
            <w:r w:rsidR="007225B1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D360D4">
              <w:rPr>
                <w:rFonts w:ascii="Arial" w:hAnsi="Arial" w:cs="Arial"/>
                <w:sz w:val="20"/>
                <w:szCs w:val="20"/>
                <w:lang w:eastAsia="es-CO"/>
              </w:rPr>
              <w:t xml:space="preserve">- </w:t>
            </w:r>
            <w:r w:rsidR="00D360D4" w:rsidRPr="00600606">
              <w:rPr>
                <w:rFonts w:ascii="Arial" w:hAnsi="Arial" w:cs="Arial"/>
                <w:sz w:val="20"/>
                <w:szCs w:val="20"/>
              </w:rPr>
              <w:t xml:space="preserve">CÁLCULO DEL INDICADOR DE </w:t>
            </w:r>
            <w:r w:rsidR="00D360D4">
              <w:rPr>
                <w:rFonts w:ascii="Arial" w:hAnsi="Arial" w:cs="Arial"/>
                <w:sz w:val="20"/>
                <w:szCs w:val="20"/>
              </w:rPr>
              <w:t>EFICACIA</w:t>
            </w:r>
          </w:p>
        </w:tc>
      </w:tr>
      <w:tr w:rsidR="00390636" w:rsidRPr="00213EA8" w:rsidTr="00C8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CÁLCULO DEL INDICADOR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FÓRMULA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390636" w:rsidRPr="002849DE" w:rsidRDefault="00C81EFA" w:rsidP="00C5552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RESULTADO</w:t>
            </w:r>
          </w:p>
        </w:tc>
      </w:tr>
      <w:tr w:rsidR="00F81CCF" w:rsidRPr="00213EA8" w:rsidTr="00247BA6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</w:tcBorders>
            <w:vAlign w:val="center"/>
          </w:tcPr>
          <w:p w:rsidR="00F81CCF" w:rsidRPr="002849DE" w:rsidRDefault="00F81CCF" w:rsidP="00F81C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Eficacia de Respuestas a las PQRSD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  <w:vAlign w:val="center"/>
          </w:tcPr>
          <w:p w:rsidR="00F81CCF" w:rsidRPr="002849DE" w:rsidRDefault="00F81CCF" w:rsidP="00F81C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Número total de respuestas emitidas a las PQRSD en el mes) /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(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total de PQRSD que deben ser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solucionadas </w:t>
            </w:r>
            <w:r w:rsidRPr="002849DE">
              <w:rPr>
                <w:rFonts w:ascii="Arial" w:hAnsi="Arial" w:cs="Arial"/>
                <w:sz w:val="20"/>
                <w:szCs w:val="20"/>
                <w:lang w:val="es-ES"/>
              </w:rPr>
              <w:t>en el mes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* 100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</w:tcBorders>
            <w:vAlign w:val="center"/>
          </w:tcPr>
          <w:p w:rsidR="00F81CCF" w:rsidRPr="002849DE" w:rsidRDefault="00F81CCF" w:rsidP="00F81C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((</w:t>
            </w:r>
            <w:r w:rsidR="0024624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356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/ (</w:t>
            </w:r>
            <w:r w:rsidR="00246242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289</w:t>
            </w:r>
            <w:r w:rsidRPr="002849DE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)) x 100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</w:tcBorders>
            <w:vAlign w:val="center"/>
          </w:tcPr>
          <w:p w:rsidR="00F81CCF" w:rsidRPr="002849DE" w:rsidRDefault="00F81CCF" w:rsidP="00F81C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E0280D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3,</w:t>
            </w:r>
            <w:r w:rsidR="00E0280D">
              <w:rPr>
                <w:rFonts w:ascii="Arial" w:hAnsi="Arial" w:cs="Arial"/>
                <w:b/>
                <w:sz w:val="20"/>
                <w:szCs w:val="20"/>
                <w:lang w:val="es-ES"/>
              </w:rPr>
              <w:t>18</w:t>
            </w:r>
            <w:r w:rsidRPr="002849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390636" w:rsidRPr="00331700" w:rsidRDefault="00390636" w:rsidP="00390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3D2EE4" w:rsidRDefault="007225B1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anterior formula indica que se solucionaron </w:t>
      </w:r>
      <w:r w:rsidR="00941A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7 PQRSD más de las que se tenían contempladas. </w:t>
      </w:r>
    </w:p>
    <w:p w:rsidR="00941AB8" w:rsidRDefault="00941AB8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B82" w:rsidRDefault="00687B82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15A" w:rsidRPr="00390636" w:rsidRDefault="005343C4" w:rsidP="005343C4">
      <w:pPr>
        <w:pStyle w:val="Ttulo2"/>
        <w:numPr>
          <w:ilvl w:val="1"/>
          <w:numId w:val="7"/>
        </w:numPr>
        <w:spacing w:before="0" w:after="0" w:line="240" w:lineRule="auto"/>
      </w:pPr>
      <w:bookmarkStart w:id="11" w:name="_Toc520889936"/>
      <w:r w:rsidRPr="00390636">
        <w:t>C</w:t>
      </w:r>
      <w:r>
        <w:t>onclusiones</w:t>
      </w:r>
      <w:bookmarkEnd w:id="11"/>
    </w:p>
    <w:p w:rsidR="001A608E" w:rsidRDefault="001A608E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B82" w:rsidRDefault="00687B82" w:rsidP="00687B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 la tipología a la que más rápido se gestionó su respuesta fue la “Consulta” con una eficiencia del </w:t>
      </w:r>
      <w:r w:rsidR="00C750A5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>,</w:t>
      </w:r>
      <w:r w:rsidR="00C750A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%, que representa 2</w:t>
      </w:r>
      <w:r w:rsidR="00C750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C750A5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días hábiles ahorrados. En caso contrario la tipología que consumió más tiempo para su respuesta fue la “</w:t>
      </w:r>
      <w:r w:rsidR="00C750A5">
        <w:rPr>
          <w:rFonts w:ascii="Arial" w:hAnsi="Arial" w:cs="Arial"/>
          <w:sz w:val="24"/>
          <w:szCs w:val="24"/>
        </w:rPr>
        <w:t>Felicitación” ya que se dio respuesta en la fecha límite contemplada de 15 días hábiles</w:t>
      </w:r>
      <w:r w:rsidR="007B1ED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como se evidencia en la Tabla No. </w:t>
      </w:r>
      <w:r w:rsidR="0064015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4B46" w:rsidRDefault="00824B46" w:rsidP="005343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209" w:type="dxa"/>
        <w:tblLook w:val="04A0" w:firstRow="1" w:lastRow="0" w:firstColumn="1" w:lastColumn="0" w:noHBand="0" w:noVBand="1"/>
      </w:tblPr>
      <w:tblGrid>
        <w:gridCol w:w="3823"/>
        <w:gridCol w:w="1984"/>
        <w:gridCol w:w="1819"/>
        <w:gridCol w:w="1583"/>
      </w:tblGrid>
      <w:tr w:rsidR="00E742BF" w:rsidRPr="00E742BF" w:rsidTr="00E74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bottom w:val="single" w:sz="4" w:space="0" w:color="DBE5F1" w:themeColor="accent1" w:themeTint="33"/>
            </w:tcBorders>
            <w:vAlign w:val="center"/>
          </w:tcPr>
          <w:p w:rsidR="00E742BF" w:rsidRPr="00E742BF" w:rsidRDefault="00E742BF" w:rsidP="00E7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331700">
              <w:rPr>
                <w:rFonts w:ascii="Arial" w:hAnsi="Arial" w:cs="Arial"/>
                <w:sz w:val="20"/>
                <w:szCs w:val="20"/>
              </w:rPr>
              <w:t>TABLA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687B82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317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7B82">
              <w:rPr>
                <w:rFonts w:ascii="Arial" w:hAnsi="Arial" w:cs="Arial"/>
                <w:sz w:val="20"/>
                <w:szCs w:val="20"/>
              </w:rPr>
              <w:t>5</w:t>
            </w:r>
            <w:r w:rsidRPr="003317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E437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1700">
              <w:rPr>
                <w:rFonts w:ascii="Arial" w:hAnsi="Arial" w:cs="Arial"/>
                <w:sz w:val="20"/>
                <w:szCs w:val="20"/>
              </w:rPr>
              <w:t xml:space="preserve">TIEMPOS </w:t>
            </w:r>
            <w:r>
              <w:rPr>
                <w:rFonts w:ascii="Arial" w:hAnsi="Arial" w:cs="Arial"/>
                <w:sz w:val="20"/>
                <w:szCs w:val="20"/>
              </w:rPr>
              <w:t>LIMITE Y P</w:t>
            </w:r>
            <w:r w:rsidRPr="00331700">
              <w:rPr>
                <w:rFonts w:ascii="Arial" w:hAnsi="Arial" w:cs="Arial"/>
                <w:sz w:val="20"/>
                <w:szCs w:val="20"/>
              </w:rPr>
              <w:t>ROMEDIO DE RESPUESTA</w:t>
            </w:r>
          </w:p>
        </w:tc>
      </w:tr>
      <w:tr w:rsidR="00E742BF" w:rsidRPr="00E742BF" w:rsidTr="0024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E742BF" w:rsidRPr="002C1EF0" w:rsidRDefault="00E742BF" w:rsidP="00E74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2C1EF0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E742BF" w:rsidRPr="002C1EF0" w:rsidRDefault="00E742BF" w:rsidP="00E74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PROMEDIO DIAS UTILIZADOS (hábiles)</w:t>
            </w:r>
          </w:p>
        </w:tc>
        <w:tc>
          <w:tcPr>
            <w:tcW w:w="181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E742BF" w:rsidRPr="002C1EF0" w:rsidRDefault="00E742BF" w:rsidP="00E74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MÁXIMO DE DIAS (hábiles)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vAlign w:val="center"/>
            <w:hideMark/>
          </w:tcPr>
          <w:p w:rsidR="00E742BF" w:rsidRPr="002C1EF0" w:rsidRDefault="00E742BF" w:rsidP="00E742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PORCENTAJE DE EFICACIA</w:t>
            </w:r>
          </w:p>
        </w:tc>
      </w:tr>
      <w:tr w:rsidR="00E742BF" w:rsidRPr="00E742BF" w:rsidTr="00247B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E742BF" w:rsidRPr="002C1EF0" w:rsidRDefault="00E742BF" w:rsidP="00AB77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E742BF" w:rsidRPr="002C1EF0" w:rsidRDefault="00455D5C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8,67</w:t>
            </w:r>
          </w:p>
        </w:tc>
        <w:tc>
          <w:tcPr>
            <w:tcW w:w="1819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E742BF" w:rsidRPr="002C1EF0" w:rsidRDefault="00487119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30,00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71,11</w:t>
            </w:r>
          </w:p>
        </w:tc>
      </w:tr>
      <w:tr w:rsidR="00E742BF" w:rsidRPr="00E742BF" w:rsidTr="0024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E742BF" w:rsidRPr="002C1EF0" w:rsidRDefault="00E742BF" w:rsidP="00AB77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  <w:t>Denuncia por actos de corrupción</w:t>
            </w:r>
          </w:p>
        </w:tc>
        <w:tc>
          <w:tcPr>
            <w:tcW w:w="1984" w:type="dxa"/>
            <w:noWrap/>
            <w:vAlign w:val="center"/>
          </w:tcPr>
          <w:p w:rsidR="00E742BF" w:rsidRPr="002C1EF0" w:rsidRDefault="00455D5C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1819" w:type="dxa"/>
            <w:noWrap/>
            <w:vAlign w:val="center"/>
          </w:tcPr>
          <w:p w:rsidR="00E742BF" w:rsidRPr="002C1EF0" w:rsidRDefault="00487119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583" w:type="dxa"/>
            <w:noWrap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13,33</w:t>
            </w:r>
          </w:p>
        </w:tc>
      </w:tr>
      <w:tr w:rsidR="00E742BF" w:rsidRPr="00E742BF" w:rsidTr="00247B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E742BF" w:rsidRPr="002C1EF0" w:rsidRDefault="00E742BF" w:rsidP="00AB77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1984" w:type="dxa"/>
            <w:noWrap/>
            <w:vAlign w:val="center"/>
          </w:tcPr>
          <w:p w:rsidR="00E742BF" w:rsidRPr="002C1EF0" w:rsidRDefault="00455D5C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10,69</w:t>
            </w:r>
          </w:p>
        </w:tc>
        <w:tc>
          <w:tcPr>
            <w:tcW w:w="1819" w:type="dxa"/>
            <w:noWrap/>
            <w:vAlign w:val="center"/>
          </w:tcPr>
          <w:p w:rsidR="00E742BF" w:rsidRPr="002C1EF0" w:rsidRDefault="00487119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583" w:type="dxa"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28,74</w:t>
            </w:r>
          </w:p>
        </w:tc>
      </w:tr>
      <w:tr w:rsidR="00E742BF" w:rsidRPr="00E742BF" w:rsidTr="0024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E742BF" w:rsidRPr="002C1EF0" w:rsidRDefault="00E742BF" w:rsidP="00AB77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1984" w:type="dxa"/>
            <w:noWrap/>
            <w:vAlign w:val="center"/>
          </w:tcPr>
          <w:p w:rsidR="00E742BF" w:rsidRPr="002C1EF0" w:rsidRDefault="00455D5C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9,24</w:t>
            </w:r>
          </w:p>
        </w:tc>
        <w:tc>
          <w:tcPr>
            <w:tcW w:w="1819" w:type="dxa"/>
            <w:noWrap/>
            <w:vAlign w:val="center"/>
          </w:tcPr>
          <w:p w:rsidR="00E742BF" w:rsidRPr="002C1EF0" w:rsidRDefault="00487119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583" w:type="dxa"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38,43</w:t>
            </w:r>
          </w:p>
        </w:tc>
      </w:tr>
      <w:tr w:rsidR="00E742BF" w:rsidRPr="00E742BF" w:rsidTr="00247B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E742BF" w:rsidRPr="002C1EF0" w:rsidRDefault="00E742BF" w:rsidP="00AB77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  <w:t>Felicitación</w:t>
            </w:r>
          </w:p>
        </w:tc>
        <w:tc>
          <w:tcPr>
            <w:tcW w:w="1984" w:type="dxa"/>
            <w:noWrap/>
            <w:vAlign w:val="center"/>
          </w:tcPr>
          <w:p w:rsidR="00E742BF" w:rsidRPr="002C1EF0" w:rsidRDefault="00455D5C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819" w:type="dxa"/>
            <w:noWrap/>
            <w:vAlign w:val="center"/>
          </w:tcPr>
          <w:p w:rsidR="00E742BF" w:rsidRPr="002C1EF0" w:rsidRDefault="00487119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583" w:type="dxa"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0,00</w:t>
            </w:r>
          </w:p>
        </w:tc>
      </w:tr>
      <w:tr w:rsidR="00E742BF" w:rsidRPr="00E742BF" w:rsidTr="0024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E742BF" w:rsidRPr="002C1EF0" w:rsidRDefault="00E742BF" w:rsidP="00AB77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984" w:type="dxa"/>
            <w:noWrap/>
            <w:vAlign w:val="center"/>
          </w:tcPr>
          <w:p w:rsidR="00E742BF" w:rsidRPr="002C1EF0" w:rsidRDefault="00455D5C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12,00</w:t>
            </w:r>
          </w:p>
        </w:tc>
        <w:tc>
          <w:tcPr>
            <w:tcW w:w="1819" w:type="dxa"/>
            <w:noWrap/>
            <w:vAlign w:val="center"/>
          </w:tcPr>
          <w:p w:rsidR="00E742BF" w:rsidRPr="002C1EF0" w:rsidRDefault="00487119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583" w:type="dxa"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20,00</w:t>
            </w:r>
          </w:p>
        </w:tc>
      </w:tr>
      <w:tr w:rsidR="00E742BF" w:rsidRPr="00E742BF" w:rsidTr="00247B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E742BF" w:rsidRPr="002C1EF0" w:rsidRDefault="00E742BF" w:rsidP="00AB77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1984" w:type="dxa"/>
            <w:noWrap/>
            <w:vAlign w:val="center"/>
          </w:tcPr>
          <w:p w:rsidR="00E742BF" w:rsidRPr="002C1EF0" w:rsidRDefault="00455D5C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1819" w:type="dxa"/>
            <w:noWrap/>
            <w:vAlign w:val="center"/>
          </w:tcPr>
          <w:p w:rsidR="00E742BF" w:rsidRPr="002C1EF0" w:rsidRDefault="00487119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1583" w:type="dxa"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26,67</w:t>
            </w:r>
          </w:p>
        </w:tc>
      </w:tr>
      <w:tr w:rsidR="00E742BF" w:rsidRPr="00E742BF" w:rsidTr="0024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E742BF" w:rsidRPr="002C1EF0" w:rsidRDefault="00E742BF" w:rsidP="00AB77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1984" w:type="dxa"/>
            <w:noWrap/>
            <w:vAlign w:val="center"/>
          </w:tcPr>
          <w:p w:rsidR="00E742BF" w:rsidRPr="002C1EF0" w:rsidRDefault="00455D5C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8,80</w:t>
            </w:r>
          </w:p>
        </w:tc>
        <w:tc>
          <w:tcPr>
            <w:tcW w:w="1819" w:type="dxa"/>
            <w:noWrap/>
            <w:vAlign w:val="center"/>
          </w:tcPr>
          <w:p w:rsidR="00E742BF" w:rsidRPr="002C1EF0" w:rsidRDefault="00487119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1583" w:type="dxa"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12,00</w:t>
            </w:r>
          </w:p>
        </w:tc>
      </w:tr>
      <w:tr w:rsidR="00E742BF" w:rsidRPr="00E742BF" w:rsidTr="00247BA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E742BF" w:rsidRPr="002C1EF0" w:rsidRDefault="00E742BF" w:rsidP="00AB77F7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b w:val="0"/>
                <w:color w:val="1D1B11" w:themeColor="background2" w:themeShade="1A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984" w:type="dxa"/>
            <w:noWrap/>
            <w:vAlign w:val="center"/>
          </w:tcPr>
          <w:p w:rsidR="00E742BF" w:rsidRPr="002C1EF0" w:rsidRDefault="00487119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7,11</w:t>
            </w:r>
          </w:p>
        </w:tc>
        <w:tc>
          <w:tcPr>
            <w:tcW w:w="1819" w:type="dxa"/>
            <w:noWrap/>
            <w:vAlign w:val="center"/>
          </w:tcPr>
          <w:p w:rsidR="00E742BF" w:rsidRPr="002C1EF0" w:rsidRDefault="00487119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1583" w:type="dxa"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28,89</w:t>
            </w:r>
          </w:p>
        </w:tc>
      </w:tr>
      <w:tr w:rsidR="00E742BF" w:rsidRPr="00E742BF" w:rsidTr="00247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E742BF" w:rsidRPr="002C1EF0" w:rsidRDefault="00E742BF" w:rsidP="00AB77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</w:pPr>
            <w:r w:rsidRPr="00E742BF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 xml:space="preserve">PROMEDIO </w:t>
            </w:r>
            <w:r w:rsidRPr="002C1EF0">
              <w:rPr>
                <w:rFonts w:ascii="Arial" w:eastAsia="Times New Roman" w:hAnsi="Arial" w:cs="Arial"/>
                <w:color w:val="1D1B11" w:themeColor="background2" w:themeShade="1A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4" w:type="dxa"/>
            <w:noWrap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  <w:lang w:eastAsia="es-CO"/>
              </w:rPr>
              <w:t>9,72</w:t>
            </w:r>
          </w:p>
        </w:tc>
        <w:tc>
          <w:tcPr>
            <w:tcW w:w="1819" w:type="dxa"/>
            <w:noWrap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  <w:lang w:eastAsia="es-CO"/>
              </w:rPr>
              <w:t>15,56</w:t>
            </w:r>
          </w:p>
        </w:tc>
        <w:tc>
          <w:tcPr>
            <w:tcW w:w="1583" w:type="dxa"/>
            <w:noWrap/>
            <w:vAlign w:val="center"/>
          </w:tcPr>
          <w:p w:rsidR="00E742BF" w:rsidRPr="002C1EF0" w:rsidRDefault="00DB306F" w:rsidP="00AB77F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1D1B11" w:themeColor="background2" w:themeShade="1A"/>
                <w:sz w:val="20"/>
                <w:szCs w:val="20"/>
                <w:lang w:eastAsia="es-CO"/>
              </w:rPr>
              <w:t>37,53</w:t>
            </w:r>
          </w:p>
        </w:tc>
      </w:tr>
    </w:tbl>
    <w:p w:rsidR="00F100DD" w:rsidRPr="00331700" w:rsidRDefault="00F100DD" w:rsidP="00F100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1700">
        <w:rPr>
          <w:rFonts w:ascii="Arial" w:hAnsi="Arial" w:cs="Arial"/>
          <w:sz w:val="20"/>
          <w:szCs w:val="20"/>
        </w:rPr>
        <w:t>Fuente: Propia</w:t>
      </w:r>
    </w:p>
    <w:p w:rsidR="0082021C" w:rsidRDefault="0082021C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B7F" w:rsidRDefault="00F63B7F" w:rsidP="00F63B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términos generales frente a las tipologías, podemos indicar que para el mes de febrero la CVP utilizo 9,72 días hábiles promedio para dar respuesta a las </w:t>
      </w:r>
      <w:r w:rsidR="005F04D6">
        <w:rPr>
          <w:rFonts w:ascii="Arial" w:hAnsi="Arial" w:cs="Arial"/>
          <w:sz w:val="24"/>
          <w:szCs w:val="24"/>
        </w:rPr>
        <w:t>356</w:t>
      </w:r>
      <w:r>
        <w:rPr>
          <w:rFonts w:ascii="Arial" w:hAnsi="Arial" w:cs="Arial"/>
          <w:sz w:val="24"/>
          <w:szCs w:val="24"/>
        </w:rPr>
        <w:t xml:space="preserve"> PQRSD. Lo anterior representa una eficiencia del 37,53%. (ver Grafica No. 2).</w:t>
      </w:r>
    </w:p>
    <w:p w:rsidR="00213EA8" w:rsidRPr="009D66F7" w:rsidRDefault="00213EA8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F73FF" w:rsidRDefault="007F73FF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DF481D" w:rsidRDefault="00DF481D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35F66C00" wp14:editId="499A1B62">
            <wp:extent cx="5876925" cy="336232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633400-FF33-490E-BFBF-2E95350B5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9F5" w:rsidRPr="00356183" w:rsidRDefault="007229F5" w:rsidP="007229F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56183">
        <w:rPr>
          <w:rFonts w:ascii="Arial" w:hAnsi="Arial" w:cs="Arial"/>
          <w:sz w:val="20"/>
          <w:szCs w:val="20"/>
          <w:lang w:val="es-ES"/>
        </w:rPr>
        <w:t>Fuente: SDQS</w:t>
      </w:r>
    </w:p>
    <w:p w:rsidR="007229F5" w:rsidRDefault="007229F5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47BA6" w:rsidRPr="009D66F7" w:rsidRDefault="00AE3D71" w:rsidP="00AE3D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12" w:name="_Hlk520974127"/>
      <w:r>
        <w:rPr>
          <w:rFonts w:ascii="Arial" w:hAnsi="Arial" w:cs="Arial"/>
          <w:sz w:val="24"/>
          <w:szCs w:val="24"/>
          <w:lang w:val="es-ES"/>
        </w:rPr>
        <w:t>La conclusión general es que las</w:t>
      </w:r>
      <w:r w:rsidR="00247BA6">
        <w:rPr>
          <w:rFonts w:ascii="Arial" w:hAnsi="Arial" w:cs="Arial"/>
          <w:sz w:val="24"/>
          <w:szCs w:val="24"/>
          <w:lang w:val="es-ES"/>
        </w:rPr>
        <w:t xml:space="preserve"> </w:t>
      </w:r>
      <w:r w:rsidR="006C7685">
        <w:rPr>
          <w:rFonts w:ascii="Arial" w:hAnsi="Arial" w:cs="Arial"/>
          <w:sz w:val="24"/>
          <w:szCs w:val="24"/>
          <w:lang w:val="es-ES"/>
        </w:rPr>
        <w:t>9</w:t>
      </w:r>
      <w:r w:rsidR="00247BA6">
        <w:rPr>
          <w:rFonts w:ascii="Arial" w:hAnsi="Arial" w:cs="Arial"/>
          <w:sz w:val="24"/>
          <w:szCs w:val="24"/>
          <w:lang w:val="es-ES"/>
        </w:rPr>
        <w:t xml:space="preserve"> dependencias</w:t>
      </w:r>
      <w:r w:rsidR="006C7685">
        <w:rPr>
          <w:rFonts w:ascii="Arial" w:hAnsi="Arial" w:cs="Arial"/>
          <w:sz w:val="24"/>
          <w:szCs w:val="24"/>
          <w:lang w:val="es-ES"/>
        </w:rPr>
        <w:t xml:space="preserve"> que dieron respuesta a las 356 PQRSD para el mes de febrero</w:t>
      </w:r>
      <w:r w:rsidR="00247BA6">
        <w:rPr>
          <w:rFonts w:ascii="Arial" w:hAnsi="Arial" w:cs="Arial"/>
          <w:sz w:val="24"/>
          <w:szCs w:val="24"/>
          <w:lang w:val="es-ES"/>
        </w:rPr>
        <w:t xml:space="preserve">, </w:t>
      </w:r>
      <w:r w:rsidR="006C2974">
        <w:rPr>
          <w:rFonts w:ascii="Arial" w:hAnsi="Arial" w:cs="Arial"/>
          <w:sz w:val="24"/>
          <w:szCs w:val="24"/>
          <w:lang w:val="es-ES"/>
        </w:rPr>
        <w:t>emple</w:t>
      </w:r>
      <w:r>
        <w:rPr>
          <w:rFonts w:ascii="Arial" w:hAnsi="Arial" w:cs="Arial"/>
          <w:sz w:val="24"/>
          <w:szCs w:val="24"/>
          <w:lang w:val="es-ES"/>
        </w:rPr>
        <w:t xml:space="preserve">aron </w:t>
      </w:r>
      <w:r w:rsidR="006C7685">
        <w:rPr>
          <w:rFonts w:ascii="Arial" w:hAnsi="Arial" w:cs="Arial"/>
          <w:sz w:val="24"/>
          <w:szCs w:val="24"/>
          <w:lang w:val="es-ES"/>
        </w:rPr>
        <w:t>en promedio 9,72</w:t>
      </w:r>
      <w:r w:rsidR="00247BA6"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6C7685">
        <w:rPr>
          <w:rFonts w:ascii="Arial" w:hAnsi="Arial" w:cs="Arial"/>
          <w:sz w:val="24"/>
          <w:szCs w:val="24"/>
          <w:lang w:val="es-ES"/>
        </w:rPr>
        <w:t xml:space="preserve">, </w:t>
      </w:r>
      <w:r w:rsidR="006C2974">
        <w:rPr>
          <w:rFonts w:ascii="Arial" w:hAnsi="Arial" w:cs="Arial"/>
          <w:sz w:val="24"/>
          <w:szCs w:val="24"/>
          <w:lang w:val="es-ES"/>
        </w:rPr>
        <w:t xml:space="preserve">de los 15,56 </w:t>
      </w:r>
      <w:proofErr w:type="gramStart"/>
      <w:r w:rsidR="006C2974">
        <w:rPr>
          <w:rFonts w:ascii="Arial" w:hAnsi="Arial" w:cs="Arial"/>
          <w:sz w:val="24"/>
          <w:szCs w:val="24"/>
          <w:lang w:val="es-ES"/>
        </w:rPr>
        <w:t>promedio máximo</w:t>
      </w:r>
      <w:proofErr w:type="gramEnd"/>
      <w:r w:rsidR="006C2974">
        <w:rPr>
          <w:rFonts w:ascii="Arial" w:hAnsi="Arial" w:cs="Arial"/>
          <w:sz w:val="24"/>
          <w:szCs w:val="24"/>
          <w:lang w:val="es-ES"/>
        </w:rPr>
        <w:t xml:space="preserve"> que permite la ley</w:t>
      </w:r>
      <w:r>
        <w:rPr>
          <w:rFonts w:ascii="Arial" w:hAnsi="Arial" w:cs="Arial"/>
          <w:sz w:val="24"/>
          <w:szCs w:val="24"/>
          <w:lang w:val="es-ES"/>
        </w:rPr>
        <w:t xml:space="preserve">. Permitiendo que se ahorraran en promedio </w:t>
      </w:r>
      <w:r w:rsidR="00D532B3">
        <w:rPr>
          <w:rFonts w:ascii="Arial" w:hAnsi="Arial" w:cs="Arial"/>
          <w:sz w:val="24"/>
          <w:szCs w:val="24"/>
          <w:lang w:val="es-ES"/>
        </w:rPr>
        <w:t>5,84</w:t>
      </w:r>
      <w:r>
        <w:rPr>
          <w:rFonts w:ascii="Arial" w:hAnsi="Arial" w:cs="Arial"/>
          <w:sz w:val="24"/>
          <w:szCs w:val="24"/>
          <w:lang w:val="es-ES"/>
        </w:rPr>
        <w:t xml:space="preserve"> días hábiles</w:t>
      </w:r>
      <w:r w:rsidR="00D532B3">
        <w:rPr>
          <w:rFonts w:ascii="Arial" w:hAnsi="Arial" w:cs="Arial"/>
          <w:sz w:val="24"/>
          <w:szCs w:val="24"/>
          <w:lang w:val="es-ES"/>
        </w:rPr>
        <w:t xml:space="preserve">;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="00D532B3">
        <w:rPr>
          <w:rFonts w:ascii="Arial" w:hAnsi="Arial" w:cs="Arial"/>
          <w:sz w:val="24"/>
          <w:szCs w:val="24"/>
          <w:lang w:val="es-ES"/>
        </w:rPr>
        <w:t xml:space="preserve">se utilizaron en </w:t>
      </w:r>
      <w:r w:rsidR="00247BA6">
        <w:rPr>
          <w:rFonts w:ascii="Arial" w:hAnsi="Arial" w:cs="Arial"/>
          <w:sz w:val="24"/>
          <w:szCs w:val="24"/>
          <w:lang w:val="es-ES"/>
        </w:rPr>
        <w:t>las demás actividades que demanda la entidad.</w:t>
      </w:r>
    </w:p>
    <w:bookmarkEnd w:id="12"/>
    <w:p w:rsidR="00BB4101" w:rsidRDefault="00BB410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751E1" w:rsidRDefault="008751E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E3D71" w:rsidRDefault="00AE3D71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458B7" w:rsidRPr="009D66F7" w:rsidRDefault="00E458B7" w:rsidP="00213E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D66F7">
        <w:rPr>
          <w:rFonts w:ascii="Arial" w:hAnsi="Arial" w:cs="Arial"/>
          <w:b/>
          <w:sz w:val="24"/>
          <w:szCs w:val="24"/>
          <w:lang w:val="es-ES"/>
        </w:rPr>
        <w:t>CAMILO ERNESTO CHACON OROZCO</w:t>
      </w:r>
    </w:p>
    <w:p w:rsidR="000A2537" w:rsidRPr="009D66F7" w:rsidRDefault="000A2537" w:rsidP="000A253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D66F7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0A2537" w:rsidRPr="009D66F7" w:rsidRDefault="000A2537" w:rsidP="000A2537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A2537" w:rsidRPr="000A2537" w:rsidRDefault="000A2537" w:rsidP="000A2537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</w:t>
      </w:r>
      <w:r>
        <w:rPr>
          <w:sz w:val="18"/>
          <w:szCs w:val="18"/>
          <w:lang w:val="es-ES"/>
        </w:rPr>
        <w:tab/>
      </w:r>
      <w:r w:rsidRPr="000A2537">
        <w:rPr>
          <w:sz w:val="18"/>
          <w:szCs w:val="18"/>
          <w:lang w:val="es-ES"/>
        </w:rPr>
        <w:t>Cesar Arbey Combita Cáceres - (Profesional Especializado-N-222-05)</w:t>
      </w:r>
    </w:p>
    <w:p w:rsidR="000A2537" w:rsidRPr="00B12016" w:rsidRDefault="000A2537" w:rsidP="000A2537">
      <w:pPr>
        <w:spacing w:after="0" w:line="240" w:lineRule="auto"/>
        <w:ind w:firstLine="708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Roberto Carlos Narvaez Cortes – Contrato # 47 de 2018</w:t>
      </w:r>
    </w:p>
    <w:p w:rsidR="00213EA8" w:rsidRDefault="000A2537" w:rsidP="00320133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>Darryn Calderón Trujillo – Contrato #281 de 2018</w:t>
      </w:r>
    </w:p>
    <w:p w:rsidR="00743061" w:rsidRPr="00213EA8" w:rsidRDefault="00743061" w:rsidP="003201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3061" w:rsidRPr="00213EA8" w:rsidSect="00B360A3">
      <w:headerReference w:type="default" r:id="rId12"/>
      <w:footerReference w:type="default" r:id="rId13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71" w:rsidRDefault="008A1671" w:rsidP="000C58E8">
      <w:pPr>
        <w:spacing w:after="0" w:line="240" w:lineRule="auto"/>
      </w:pPr>
      <w:r>
        <w:separator/>
      </w:r>
    </w:p>
  </w:endnote>
  <w:endnote w:type="continuationSeparator" w:id="0">
    <w:p w:rsidR="008A1671" w:rsidRDefault="008A1671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06" w:rsidRDefault="00C67E06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43AD8" wp14:editId="29224165">
              <wp:simplePos x="0" y="0"/>
              <wp:positionH relativeFrom="column">
                <wp:posOffset>102870</wp:posOffset>
              </wp:positionH>
              <wp:positionV relativeFrom="paragraph">
                <wp:posOffset>47625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7E06" w:rsidRDefault="00C67E06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:rsidR="00C67E06" w:rsidRPr="00F70E87" w:rsidRDefault="00C67E06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:rsidR="00C67E06" w:rsidRPr="00F70E87" w:rsidRDefault="00C67E06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143AD8" id="2 Rectángulo" o:spid="_x0000_s1026" style="position:absolute;margin-left:8.1pt;margin-top:3.75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cKtjEtsAAAAHAQAADwAAAAAAAAAAAAAAAADmBAAAZHJzL2Rvd25yZXYueG1sUEsFBgAA&#10;AAAEAAQA8wAAAO4FAAAAAA==&#10;" fillcolor="white [3212]" strokecolor="white [3212]" strokeweight="2pt">
              <v:textbox>
                <w:txbxContent>
                  <w:p w:rsidR="00C67E06" w:rsidRDefault="00C67E06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:rsidR="00C67E06" w:rsidRPr="00F70E87" w:rsidRDefault="00C67E06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:rsidR="00C67E06" w:rsidRPr="00F70E87" w:rsidRDefault="00C67E06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:rsidR="00C67E06" w:rsidRDefault="00C67E06" w:rsidP="00D90C2B">
    <w:pPr>
      <w:pStyle w:val="Piedepgina"/>
      <w:ind w:left="-1701"/>
      <w:jc w:val="right"/>
    </w:pPr>
    <w:r w:rsidRPr="00A2122F">
      <w:rPr>
        <w:noProof/>
        <w:lang w:eastAsia="es-CO"/>
      </w:rPr>
      <w:drawing>
        <wp:inline distT="0" distB="0" distL="0" distR="0" wp14:anchorId="223379C3" wp14:editId="2BD2FEEA">
          <wp:extent cx="6031821" cy="952500"/>
          <wp:effectExtent l="0" t="0" r="7620" b="0"/>
          <wp:docPr id="4" name="Imagen 4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236" cy="95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71" w:rsidRDefault="008A1671" w:rsidP="000C58E8">
      <w:pPr>
        <w:spacing w:after="0" w:line="240" w:lineRule="auto"/>
      </w:pPr>
      <w:r>
        <w:separator/>
      </w:r>
    </w:p>
  </w:footnote>
  <w:footnote w:type="continuationSeparator" w:id="0">
    <w:p w:rsidR="008A1671" w:rsidRDefault="008A1671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06" w:rsidRDefault="00C67E06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BA9BED8" wp14:editId="1A0B49A0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7E06" w:rsidRPr="003A0989" w:rsidRDefault="00C67E06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22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4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74E"/>
    <w:rsid w:val="0000332F"/>
    <w:rsid w:val="00004084"/>
    <w:rsid w:val="00007225"/>
    <w:rsid w:val="000119EB"/>
    <w:rsid w:val="00011E36"/>
    <w:rsid w:val="000121C4"/>
    <w:rsid w:val="00015C01"/>
    <w:rsid w:val="0001602F"/>
    <w:rsid w:val="0001603C"/>
    <w:rsid w:val="000208D0"/>
    <w:rsid w:val="00024607"/>
    <w:rsid w:val="00024F22"/>
    <w:rsid w:val="000256D8"/>
    <w:rsid w:val="00031607"/>
    <w:rsid w:val="000319ED"/>
    <w:rsid w:val="00031F3B"/>
    <w:rsid w:val="000345CD"/>
    <w:rsid w:val="00037400"/>
    <w:rsid w:val="00037C66"/>
    <w:rsid w:val="000401F3"/>
    <w:rsid w:val="000411D5"/>
    <w:rsid w:val="00043448"/>
    <w:rsid w:val="00044219"/>
    <w:rsid w:val="00047024"/>
    <w:rsid w:val="00047C2A"/>
    <w:rsid w:val="00047DF1"/>
    <w:rsid w:val="00047E36"/>
    <w:rsid w:val="00051199"/>
    <w:rsid w:val="00051ADF"/>
    <w:rsid w:val="000558AC"/>
    <w:rsid w:val="0005773B"/>
    <w:rsid w:val="00060F69"/>
    <w:rsid w:val="0006161D"/>
    <w:rsid w:val="00064972"/>
    <w:rsid w:val="00071FD8"/>
    <w:rsid w:val="0007227B"/>
    <w:rsid w:val="00073FC7"/>
    <w:rsid w:val="00075FC7"/>
    <w:rsid w:val="0007770C"/>
    <w:rsid w:val="00081727"/>
    <w:rsid w:val="00086106"/>
    <w:rsid w:val="000877CC"/>
    <w:rsid w:val="0009063A"/>
    <w:rsid w:val="00090787"/>
    <w:rsid w:val="00091E5E"/>
    <w:rsid w:val="0009386E"/>
    <w:rsid w:val="00093A2F"/>
    <w:rsid w:val="00093A8D"/>
    <w:rsid w:val="00096B48"/>
    <w:rsid w:val="000A2537"/>
    <w:rsid w:val="000A274B"/>
    <w:rsid w:val="000A3FC9"/>
    <w:rsid w:val="000A5FA9"/>
    <w:rsid w:val="000B3263"/>
    <w:rsid w:val="000C4A79"/>
    <w:rsid w:val="000C58E8"/>
    <w:rsid w:val="000C5A30"/>
    <w:rsid w:val="000D51E6"/>
    <w:rsid w:val="000D72BC"/>
    <w:rsid w:val="000D77FA"/>
    <w:rsid w:val="000E32FF"/>
    <w:rsid w:val="000E6369"/>
    <w:rsid w:val="000F20A1"/>
    <w:rsid w:val="000F53F0"/>
    <w:rsid w:val="00106964"/>
    <w:rsid w:val="00106FFC"/>
    <w:rsid w:val="0011467D"/>
    <w:rsid w:val="00115AFA"/>
    <w:rsid w:val="001166B3"/>
    <w:rsid w:val="00116AE6"/>
    <w:rsid w:val="00121DED"/>
    <w:rsid w:val="00123088"/>
    <w:rsid w:val="001265A1"/>
    <w:rsid w:val="00126817"/>
    <w:rsid w:val="001279F6"/>
    <w:rsid w:val="001314AD"/>
    <w:rsid w:val="00131529"/>
    <w:rsid w:val="001343F3"/>
    <w:rsid w:val="00135B62"/>
    <w:rsid w:val="00136AE2"/>
    <w:rsid w:val="001378F3"/>
    <w:rsid w:val="00137A41"/>
    <w:rsid w:val="00141C6A"/>
    <w:rsid w:val="001420EE"/>
    <w:rsid w:val="00142242"/>
    <w:rsid w:val="0014243E"/>
    <w:rsid w:val="00145C62"/>
    <w:rsid w:val="00150D3E"/>
    <w:rsid w:val="00156941"/>
    <w:rsid w:val="001569A0"/>
    <w:rsid w:val="0016255E"/>
    <w:rsid w:val="00162E35"/>
    <w:rsid w:val="00163221"/>
    <w:rsid w:val="001648FA"/>
    <w:rsid w:val="00167202"/>
    <w:rsid w:val="00170D45"/>
    <w:rsid w:val="00181098"/>
    <w:rsid w:val="00181833"/>
    <w:rsid w:val="00183AEF"/>
    <w:rsid w:val="0018498E"/>
    <w:rsid w:val="001851C7"/>
    <w:rsid w:val="001866BD"/>
    <w:rsid w:val="00190280"/>
    <w:rsid w:val="00190DDB"/>
    <w:rsid w:val="001932F8"/>
    <w:rsid w:val="00194911"/>
    <w:rsid w:val="001950F0"/>
    <w:rsid w:val="001964B7"/>
    <w:rsid w:val="001A17FE"/>
    <w:rsid w:val="001A33F4"/>
    <w:rsid w:val="001A4303"/>
    <w:rsid w:val="001A608E"/>
    <w:rsid w:val="001B64C3"/>
    <w:rsid w:val="001B7388"/>
    <w:rsid w:val="001B78D3"/>
    <w:rsid w:val="001C0356"/>
    <w:rsid w:val="001C1E8B"/>
    <w:rsid w:val="001C2B0D"/>
    <w:rsid w:val="001C312B"/>
    <w:rsid w:val="001C59BC"/>
    <w:rsid w:val="001C5CDB"/>
    <w:rsid w:val="001D14CF"/>
    <w:rsid w:val="001D5963"/>
    <w:rsid w:val="001D5A6E"/>
    <w:rsid w:val="001E1D82"/>
    <w:rsid w:val="001E455B"/>
    <w:rsid w:val="001F33B1"/>
    <w:rsid w:val="001F4F6E"/>
    <w:rsid w:val="001F75C1"/>
    <w:rsid w:val="001F7EDD"/>
    <w:rsid w:val="00200C24"/>
    <w:rsid w:val="00213562"/>
    <w:rsid w:val="0021396D"/>
    <w:rsid w:val="00213EA8"/>
    <w:rsid w:val="0021465D"/>
    <w:rsid w:val="0021634B"/>
    <w:rsid w:val="0022130F"/>
    <w:rsid w:val="0022291D"/>
    <w:rsid w:val="00224D20"/>
    <w:rsid w:val="00233F0C"/>
    <w:rsid w:val="00236D7D"/>
    <w:rsid w:val="0023776F"/>
    <w:rsid w:val="00240248"/>
    <w:rsid w:val="00243E1A"/>
    <w:rsid w:val="00245083"/>
    <w:rsid w:val="00245B37"/>
    <w:rsid w:val="00246120"/>
    <w:rsid w:val="00246242"/>
    <w:rsid w:val="00247BA6"/>
    <w:rsid w:val="00250209"/>
    <w:rsid w:val="002513C8"/>
    <w:rsid w:val="0025228F"/>
    <w:rsid w:val="0025463A"/>
    <w:rsid w:val="00260014"/>
    <w:rsid w:val="00265AAA"/>
    <w:rsid w:val="0026609F"/>
    <w:rsid w:val="00271E23"/>
    <w:rsid w:val="00273CEE"/>
    <w:rsid w:val="00275724"/>
    <w:rsid w:val="0027725D"/>
    <w:rsid w:val="002808FF"/>
    <w:rsid w:val="0028320D"/>
    <w:rsid w:val="00283FDC"/>
    <w:rsid w:val="002849DE"/>
    <w:rsid w:val="00284FDB"/>
    <w:rsid w:val="00286062"/>
    <w:rsid w:val="002860D9"/>
    <w:rsid w:val="002935BA"/>
    <w:rsid w:val="00297A9F"/>
    <w:rsid w:val="002A550D"/>
    <w:rsid w:val="002A568E"/>
    <w:rsid w:val="002A7998"/>
    <w:rsid w:val="002A7E10"/>
    <w:rsid w:val="002B1D03"/>
    <w:rsid w:val="002B2438"/>
    <w:rsid w:val="002B2772"/>
    <w:rsid w:val="002C087C"/>
    <w:rsid w:val="002C0903"/>
    <w:rsid w:val="002C0E13"/>
    <w:rsid w:val="002C2345"/>
    <w:rsid w:val="002C28E4"/>
    <w:rsid w:val="002C41A3"/>
    <w:rsid w:val="002C67B6"/>
    <w:rsid w:val="002C7434"/>
    <w:rsid w:val="002D39D5"/>
    <w:rsid w:val="002E02F2"/>
    <w:rsid w:val="002E315A"/>
    <w:rsid w:val="002F0F5A"/>
    <w:rsid w:val="002F3F3F"/>
    <w:rsid w:val="002F5330"/>
    <w:rsid w:val="003015DF"/>
    <w:rsid w:val="00306CA2"/>
    <w:rsid w:val="00311649"/>
    <w:rsid w:val="003141DA"/>
    <w:rsid w:val="00320133"/>
    <w:rsid w:val="0032091A"/>
    <w:rsid w:val="00321168"/>
    <w:rsid w:val="003314E4"/>
    <w:rsid w:val="00331700"/>
    <w:rsid w:val="00331CCE"/>
    <w:rsid w:val="003331E7"/>
    <w:rsid w:val="0033526E"/>
    <w:rsid w:val="00342F23"/>
    <w:rsid w:val="00347B28"/>
    <w:rsid w:val="00354E2E"/>
    <w:rsid w:val="00355F4B"/>
    <w:rsid w:val="00356183"/>
    <w:rsid w:val="00356316"/>
    <w:rsid w:val="003602FC"/>
    <w:rsid w:val="00363339"/>
    <w:rsid w:val="00363ADF"/>
    <w:rsid w:val="00364B6D"/>
    <w:rsid w:val="00364C6F"/>
    <w:rsid w:val="003663A3"/>
    <w:rsid w:val="00367DC9"/>
    <w:rsid w:val="003739B9"/>
    <w:rsid w:val="0037508F"/>
    <w:rsid w:val="00380632"/>
    <w:rsid w:val="00390636"/>
    <w:rsid w:val="00394879"/>
    <w:rsid w:val="00396B8B"/>
    <w:rsid w:val="003A0108"/>
    <w:rsid w:val="003A0989"/>
    <w:rsid w:val="003A4EDB"/>
    <w:rsid w:val="003B403B"/>
    <w:rsid w:val="003B48FB"/>
    <w:rsid w:val="003B658F"/>
    <w:rsid w:val="003C7BAC"/>
    <w:rsid w:val="003C7F4C"/>
    <w:rsid w:val="003D012F"/>
    <w:rsid w:val="003D08FF"/>
    <w:rsid w:val="003D0B44"/>
    <w:rsid w:val="003D1BB3"/>
    <w:rsid w:val="003D21AB"/>
    <w:rsid w:val="003D2AA5"/>
    <w:rsid w:val="003D2EE4"/>
    <w:rsid w:val="003D3708"/>
    <w:rsid w:val="003D565E"/>
    <w:rsid w:val="003D7EDB"/>
    <w:rsid w:val="003D7FA8"/>
    <w:rsid w:val="003E18B6"/>
    <w:rsid w:val="003E5852"/>
    <w:rsid w:val="003E6D68"/>
    <w:rsid w:val="003F2898"/>
    <w:rsid w:val="003F4E0D"/>
    <w:rsid w:val="003F601A"/>
    <w:rsid w:val="0040058B"/>
    <w:rsid w:val="00402E4F"/>
    <w:rsid w:val="0040541E"/>
    <w:rsid w:val="00406DCF"/>
    <w:rsid w:val="004073D4"/>
    <w:rsid w:val="00407C6F"/>
    <w:rsid w:val="004101F0"/>
    <w:rsid w:val="00410B9D"/>
    <w:rsid w:val="00411285"/>
    <w:rsid w:val="00412EFD"/>
    <w:rsid w:val="004152E4"/>
    <w:rsid w:val="00416BBD"/>
    <w:rsid w:val="0042429D"/>
    <w:rsid w:val="00424A5A"/>
    <w:rsid w:val="0043403D"/>
    <w:rsid w:val="004358C7"/>
    <w:rsid w:val="00441655"/>
    <w:rsid w:val="00443919"/>
    <w:rsid w:val="004446D4"/>
    <w:rsid w:val="0044783D"/>
    <w:rsid w:val="004520CB"/>
    <w:rsid w:val="00455D5C"/>
    <w:rsid w:val="00464100"/>
    <w:rsid w:val="00467318"/>
    <w:rsid w:val="00472AE1"/>
    <w:rsid w:val="00472D3D"/>
    <w:rsid w:val="004733B3"/>
    <w:rsid w:val="004751C6"/>
    <w:rsid w:val="00475966"/>
    <w:rsid w:val="004769FF"/>
    <w:rsid w:val="00481136"/>
    <w:rsid w:val="00483186"/>
    <w:rsid w:val="004842CA"/>
    <w:rsid w:val="00485FC2"/>
    <w:rsid w:val="00487119"/>
    <w:rsid w:val="00487F0F"/>
    <w:rsid w:val="00490717"/>
    <w:rsid w:val="00493A89"/>
    <w:rsid w:val="004945B1"/>
    <w:rsid w:val="00494853"/>
    <w:rsid w:val="00494E20"/>
    <w:rsid w:val="004956E4"/>
    <w:rsid w:val="00495FCC"/>
    <w:rsid w:val="004A0029"/>
    <w:rsid w:val="004A1165"/>
    <w:rsid w:val="004A4080"/>
    <w:rsid w:val="004B057D"/>
    <w:rsid w:val="004C01E9"/>
    <w:rsid w:val="004C5C57"/>
    <w:rsid w:val="004D0B91"/>
    <w:rsid w:val="004D1B2E"/>
    <w:rsid w:val="004D1C05"/>
    <w:rsid w:val="004D6E10"/>
    <w:rsid w:val="004D75D7"/>
    <w:rsid w:val="004E060A"/>
    <w:rsid w:val="004E2051"/>
    <w:rsid w:val="004E443C"/>
    <w:rsid w:val="004E45A9"/>
    <w:rsid w:val="004F7C3F"/>
    <w:rsid w:val="0050109F"/>
    <w:rsid w:val="00501E7D"/>
    <w:rsid w:val="0050580B"/>
    <w:rsid w:val="0050659D"/>
    <w:rsid w:val="00511909"/>
    <w:rsid w:val="00517E45"/>
    <w:rsid w:val="00523937"/>
    <w:rsid w:val="00523C25"/>
    <w:rsid w:val="00530093"/>
    <w:rsid w:val="00532380"/>
    <w:rsid w:val="0053336E"/>
    <w:rsid w:val="00533AD0"/>
    <w:rsid w:val="005343C4"/>
    <w:rsid w:val="005402B2"/>
    <w:rsid w:val="0054042F"/>
    <w:rsid w:val="005431C6"/>
    <w:rsid w:val="00543233"/>
    <w:rsid w:val="00543812"/>
    <w:rsid w:val="00543ECC"/>
    <w:rsid w:val="005441A3"/>
    <w:rsid w:val="005452D2"/>
    <w:rsid w:val="00545430"/>
    <w:rsid w:val="0054661B"/>
    <w:rsid w:val="00556151"/>
    <w:rsid w:val="00560198"/>
    <w:rsid w:val="00561991"/>
    <w:rsid w:val="00562718"/>
    <w:rsid w:val="005641DD"/>
    <w:rsid w:val="0056654F"/>
    <w:rsid w:val="0056676E"/>
    <w:rsid w:val="00566F82"/>
    <w:rsid w:val="005753A0"/>
    <w:rsid w:val="005824DA"/>
    <w:rsid w:val="00584984"/>
    <w:rsid w:val="005902A8"/>
    <w:rsid w:val="00591C22"/>
    <w:rsid w:val="00594151"/>
    <w:rsid w:val="00594358"/>
    <w:rsid w:val="00594A58"/>
    <w:rsid w:val="00597469"/>
    <w:rsid w:val="005A1B21"/>
    <w:rsid w:val="005A33A3"/>
    <w:rsid w:val="005A4140"/>
    <w:rsid w:val="005A5286"/>
    <w:rsid w:val="005A6954"/>
    <w:rsid w:val="005A72F4"/>
    <w:rsid w:val="005A7599"/>
    <w:rsid w:val="005B1F02"/>
    <w:rsid w:val="005B2D4C"/>
    <w:rsid w:val="005B2F4B"/>
    <w:rsid w:val="005B4E02"/>
    <w:rsid w:val="005C02A6"/>
    <w:rsid w:val="005C2D1E"/>
    <w:rsid w:val="005C3545"/>
    <w:rsid w:val="005C4E4E"/>
    <w:rsid w:val="005C4F5F"/>
    <w:rsid w:val="005C5ED9"/>
    <w:rsid w:val="005D2D31"/>
    <w:rsid w:val="005D3446"/>
    <w:rsid w:val="005D3F27"/>
    <w:rsid w:val="005D4B38"/>
    <w:rsid w:val="005D516E"/>
    <w:rsid w:val="005D6549"/>
    <w:rsid w:val="005D6B51"/>
    <w:rsid w:val="005E4379"/>
    <w:rsid w:val="005E65F0"/>
    <w:rsid w:val="005F04D6"/>
    <w:rsid w:val="005F0BC8"/>
    <w:rsid w:val="005F1437"/>
    <w:rsid w:val="005F58F0"/>
    <w:rsid w:val="005F673F"/>
    <w:rsid w:val="005F7580"/>
    <w:rsid w:val="00600606"/>
    <w:rsid w:val="006052E3"/>
    <w:rsid w:val="00606E01"/>
    <w:rsid w:val="00607463"/>
    <w:rsid w:val="00613064"/>
    <w:rsid w:val="00613A04"/>
    <w:rsid w:val="00615BC7"/>
    <w:rsid w:val="0061602A"/>
    <w:rsid w:val="00623BF1"/>
    <w:rsid w:val="00624F47"/>
    <w:rsid w:val="00631DAE"/>
    <w:rsid w:val="00634CF8"/>
    <w:rsid w:val="00637669"/>
    <w:rsid w:val="00640152"/>
    <w:rsid w:val="0064108B"/>
    <w:rsid w:val="006417DB"/>
    <w:rsid w:val="00642253"/>
    <w:rsid w:val="0064345C"/>
    <w:rsid w:val="00645110"/>
    <w:rsid w:val="00645666"/>
    <w:rsid w:val="0065445D"/>
    <w:rsid w:val="006607AE"/>
    <w:rsid w:val="00660940"/>
    <w:rsid w:val="00662F72"/>
    <w:rsid w:val="00667C81"/>
    <w:rsid w:val="006726D3"/>
    <w:rsid w:val="00672E6B"/>
    <w:rsid w:val="00675377"/>
    <w:rsid w:val="00677562"/>
    <w:rsid w:val="0068086D"/>
    <w:rsid w:val="0068209B"/>
    <w:rsid w:val="00682788"/>
    <w:rsid w:val="00684B91"/>
    <w:rsid w:val="00686C27"/>
    <w:rsid w:val="00687B82"/>
    <w:rsid w:val="00692591"/>
    <w:rsid w:val="006926D7"/>
    <w:rsid w:val="00693CE3"/>
    <w:rsid w:val="00694457"/>
    <w:rsid w:val="00694EC3"/>
    <w:rsid w:val="00697332"/>
    <w:rsid w:val="006A311E"/>
    <w:rsid w:val="006B595B"/>
    <w:rsid w:val="006B6AC3"/>
    <w:rsid w:val="006C0A80"/>
    <w:rsid w:val="006C1046"/>
    <w:rsid w:val="006C2974"/>
    <w:rsid w:val="006C4D7B"/>
    <w:rsid w:val="006C4ECD"/>
    <w:rsid w:val="006C7685"/>
    <w:rsid w:val="006D07F6"/>
    <w:rsid w:val="006D4786"/>
    <w:rsid w:val="006D6803"/>
    <w:rsid w:val="006D6978"/>
    <w:rsid w:val="006D6C21"/>
    <w:rsid w:val="006D7524"/>
    <w:rsid w:val="006E00B2"/>
    <w:rsid w:val="006E12A1"/>
    <w:rsid w:val="006E1F0F"/>
    <w:rsid w:val="006E4313"/>
    <w:rsid w:val="006F2EC8"/>
    <w:rsid w:val="006F4128"/>
    <w:rsid w:val="006F46D8"/>
    <w:rsid w:val="00700520"/>
    <w:rsid w:val="00702CD0"/>
    <w:rsid w:val="00703837"/>
    <w:rsid w:val="00711BE8"/>
    <w:rsid w:val="0071379F"/>
    <w:rsid w:val="0071507C"/>
    <w:rsid w:val="00715AF1"/>
    <w:rsid w:val="00716F8F"/>
    <w:rsid w:val="007179B7"/>
    <w:rsid w:val="007225B1"/>
    <w:rsid w:val="00722994"/>
    <w:rsid w:val="007229F5"/>
    <w:rsid w:val="007243DB"/>
    <w:rsid w:val="007313B3"/>
    <w:rsid w:val="007314E1"/>
    <w:rsid w:val="00734036"/>
    <w:rsid w:val="00737A23"/>
    <w:rsid w:val="00742BE0"/>
    <w:rsid w:val="00743061"/>
    <w:rsid w:val="007431EE"/>
    <w:rsid w:val="0074698F"/>
    <w:rsid w:val="00752F5A"/>
    <w:rsid w:val="007533E4"/>
    <w:rsid w:val="007578AF"/>
    <w:rsid w:val="00760AC7"/>
    <w:rsid w:val="007611AF"/>
    <w:rsid w:val="00766C9B"/>
    <w:rsid w:val="00766DE6"/>
    <w:rsid w:val="00771FCF"/>
    <w:rsid w:val="00776343"/>
    <w:rsid w:val="00782886"/>
    <w:rsid w:val="007856A0"/>
    <w:rsid w:val="00787861"/>
    <w:rsid w:val="0079068E"/>
    <w:rsid w:val="00790C12"/>
    <w:rsid w:val="007917DC"/>
    <w:rsid w:val="0079233C"/>
    <w:rsid w:val="00797037"/>
    <w:rsid w:val="00797F9C"/>
    <w:rsid w:val="007A03AA"/>
    <w:rsid w:val="007A2FCC"/>
    <w:rsid w:val="007A434F"/>
    <w:rsid w:val="007B1ED3"/>
    <w:rsid w:val="007B5930"/>
    <w:rsid w:val="007B63BE"/>
    <w:rsid w:val="007C2E0F"/>
    <w:rsid w:val="007D057B"/>
    <w:rsid w:val="007D2FBC"/>
    <w:rsid w:val="007D4483"/>
    <w:rsid w:val="007D5A96"/>
    <w:rsid w:val="007D7460"/>
    <w:rsid w:val="007D7E52"/>
    <w:rsid w:val="007E046B"/>
    <w:rsid w:val="007E0AEA"/>
    <w:rsid w:val="007E2C5B"/>
    <w:rsid w:val="007E3A3E"/>
    <w:rsid w:val="007E6AB9"/>
    <w:rsid w:val="007F0BFA"/>
    <w:rsid w:val="007F1AFC"/>
    <w:rsid w:val="007F50AF"/>
    <w:rsid w:val="007F62AA"/>
    <w:rsid w:val="007F73FF"/>
    <w:rsid w:val="007F7C45"/>
    <w:rsid w:val="008001D4"/>
    <w:rsid w:val="00803971"/>
    <w:rsid w:val="00805302"/>
    <w:rsid w:val="00805889"/>
    <w:rsid w:val="0081094D"/>
    <w:rsid w:val="0081152E"/>
    <w:rsid w:val="00811B9B"/>
    <w:rsid w:val="0081339E"/>
    <w:rsid w:val="00813D02"/>
    <w:rsid w:val="008145FF"/>
    <w:rsid w:val="0082021C"/>
    <w:rsid w:val="00820769"/>
    <w:rsid w:val="0082462E"/>
    <w:rsid w:val="00824B46"/>
    <w:rsid w:val="00825DB4"/>
    <w:rsid w:val="008269A4"/>
    <w:rsid w:val="00826D29"/>
    <w:rsid w:val="0083398A"/>
    <w:rsid w:val="0083647E"/>
    <w:rsid w:val="00836A6A"/>
    <w:rsid w:val="00840209"/>
    <w:rsid w:val="00841917"/>
    <w:rsid w:val="00841A40"/>
    <w:rsid w:val="0084559A"/>
    <w:rsid w:val="00847E89"/>
    <w:rsid w:val="00856495"/>
    <w:rsid w:val="008564ED"/>
    <w:rsid w:val="00857E0D"/>
    <w:rsid w:val="00863971"/>
    <w:rsid w:val="008669A5"/>
    <w:rsid w:val="00872455"/>
    <w:rsid w:val="008733B7"/>
    <w:rsid w:val="008751E1"/>
    <w:rsid w:val="00877D7B"/>
    <w:rsid w:val="00881EA5"/>
    <w:rsid w:val="008822D4"/>
    <w:rsid w:val="00882A53"/>
    <w:rsid w:val="008858B5"/>
    <w:rsid w:val="00886B7C"/>
    <w:rsid w:val="008915C1"/>
    <w:rsid w:val="00891967"/>
    <w:rsid w:val="00891C2F"/>
    <w:rsid w:val="008941FD"/>
    <w:rsid w:val="00894589"/>
    <w:rsid w:val="00894CB2"/>
    <w:rsid w:val="00896333"/>
    <w:rsid w:val="008A01DC"/>
    <w:rsid w:val="008A1671"/>
    <w:rsid w:val="008A4DF5"/>
    <w:rsid w:val="008A6624"/>
    <w:rsid w:val="008A667B"/>
    <w:rsid w:val="008B0CFA"/>
    <w:rsid w:val="008B31F7"/>
    <w:rsid w:val="008B38A3"/>
    <w:rsid w:val="008B4A8E"/>
    <w:rsid w:val="008B69E4"/>
    <w:rsid w:val="008B70F2"/>
    <w:rsid w:val="008C0B2C"/>
    <w:rsid w:val="008C3F6D"/>
    <w:rsid w:val="008C59BF"/>
    <w:rsid w:val="008C5D76"/>
    <w:rsid w:val="008C6199"/>
    <w:rsid w:val="008C78E5"/>
    <w:rsid w:val="008D6424"/>
    <w:rsid w:val="008D7173"/>
    <w:rsid w:val="008D7822"/>
    <w:rsid w:val="008E1E05"/>
    <w:rsid w:val="008E3063"/>
    <w:rsid w:val="008E353C"/>
    <w:rsid w:val="008E6677"/>
    <w:rsid w:val="008E7632"/>
    <w:rsid w:val="008E7F30"/>
    <w:rsid w:val="008F504D"/>
    <w:rsid w:val="009025A2"/>
    <w:rsid w:val="009043CD"/>
    <w:rsid w:val="00910A61"/>
    <w:rsid w:val="00911096"/>
    <w:rsid w:val="009114AF"/>
    <w:rsid w:val="00916014"/>
    <w:rsid w:val="00922614"/>
    <w:rsid w:val="00926299"/>
    <w:rsid w:val="00931296"/>
    <w:rsid w:val="009362A0"/>
    <w:rsid w:val="00940D5B"/>
    <w:rsid w:val="00941AB8"/>
    <w:rsid w:val="0095376A"/>
    <w:rsid w:val="009554B9"/>
    <w:rsid w:val="00965BF6"/>
    <w:rsid w:val="00965EDB"/>
    <w:rsid w:val="00970433"/>
    <w:rsid w:val="009732B4"/>
    <w:rsid w:val="00981861"/>
    <w:rsid w:val="009907AD"/>
    <w:rsid w:val="00992825"/>
    <w:rsid w:val="0099416D"/>
    <w:rsid w:val="009A3928"/>
    <w:rsid w:val="009A6047"/>
    <w:rsid w:val="009B2EAA"/>
    <w:rsid w:val="009B411C"/>
    <w:rsid w:val="009B41C7"/>
    <w:rsid w:val="009B589C"/>
    <w:rsid w:val="009B69C8"/>
    <w:rsid w:val="009B6ADB"/>
    <w:rsid w:val="009B74B8"/>
    <w:rsid w:val="009B787D"/>
    <w:rsid w:val="009C0E18"/>
    <w:rsid w:val="009C15BC"/>
    <w:rsid w:val="009C237E"/>
    <w:rsid w:val="009C2B9F"/>
    <w:rsid w:val="009C2BA8"/>
    <w:rsid w:val="009C2EF2"/>
    <w:rsid w:val="009C6285"/>
    <w:rsid w:val="009D0BBC"/>
    <w:rsid w:val="009D1C78"/>
    <w:rsid w:val="009D66F7"/>
    <w:rsid w:val="009E1314"/>
    <w:rsid w:val="009E30A9"/>
    <w:rsid w:val="009F0EF4"/>
    <w:rsid w:val="009F1766"/>
    <w:rsid w:val="009F5502"/>
    <w:rsid w:val="009F6247"/>
    <w:rsid w:val="009F7692"/>
    <w:rsid w:val="009F7F37"/>
    <w:rsid w:val="00A0051E"/>
    <w:rsid w:val="00A03E0E"/>
    <w:rsid w:val="00A07763"/>
    <w:rsid w:val="00A11C9D"/>
    <w:rsid w:val="00A149DF"/>
    <w:rsid w:val="00A161E5"/>
    <w:rsid w:val="00A1731F"/>
    <w:rsid w:val="00A2122F"/>
    <w:rsid w:val="00A21598"/>
    <w:rsid w:val="00A216CA"/>
    <w:rsid w:val="00A23C32"/>
    <w:rsid w:val="00A265ED"/>
    <w:rsid w:val="00A27410"/>
    <w:rsid w:val="00A3041B"/>
    <w:rsid w:val="00A3152F"/>
    <w:rsid w:val="00A33001"/>
    <w:rsid w:val="00A35111"/>
    <w:rsid w:val="00A41B67"/>
    <w:rsid w:val="00A41D04"/>
    <w:rsid w:val="00A42511"/>
    <w:rsid w:val="00A452D1"/>
    <w:rsid w:val="00A54C34"/>
    <w:rsid w:val="00A57D7F"/>
    <w:rsid w:val="00A640A4"/>
    <w:rsid w:val="00A640E3"/>
    <w:rsid w:val="00A66EEF"/>
    <w:rsid w:val="00A66F83"/>
    <w:rsid w:val="00A6735A"/>
    <w:rsid w:val="00A75BD2"/>
    <w:rsid w:val="00A8262C"/>
    <w:rsid w:val="00A8517F"/>
    <w:rsid w:val="00A929E7"/>
    <w:rsid w:val="00A96E6C"/>
    <w:rsid w:val="00AA026F"/>
    <w:rsid w:val="00AA0D70"/>
    <w:rsid w:val="00AA3B67"/>
    <w:rsid w:val="00AA6370"/>
    <w:rsid w:val="00AA69AA"/>
    <w:rsid w:val="00AB34B8"/>
    <w:rsid w:val="00AB56D5"/>
    <w:rsid w:val="00AB77F7"/>
    <w:rsid w:val="00AC2CE1"/>
    <w:rsid w:val="00AD2C46"/>
    <w:rsid w:val="00AD2C52"/>
    <w:rsid w:val="00AD3B1B"/>
    <w:rsid w:val="00AE05CF"/>
    <w:rsid w:val="00AE3424"/>
    <w:rsid w:val="00AE3D71"/>
    <w:rsid w:val="00AE60F6"/>
    <w:rsid w:val="00AE63FB"/>
    <w:rsid w:val="00AE799D"/>
    <w:rsid w:val="00AF238B"/>
    <w:rsid w:val="00AF28DD"/>
    <w:rsid w:val="00AF3F1D"/>
    <w:rsid w:val="00AF70F3"/>
    <w:rsid w:val="00B015B8"/>
    <w:rsid w:val="00B04CE5"/>
    <w:rsid w:val="00B115CD"/>
    <w:rsid w:val="00B14385"/>
    <w:rsid w:val="00B177FC"/>
    <w:rsid w:val="00B17FBA"/>
    <w:rsid w:val="00B209B4"/>
    <w:rsid w:val="00B21446"/>
    <w:rsid w:val="00B2195E"/>
    <w:rsid w:val="00B3601F"/>
    <w:rsid w:val="00B360A3"/>
    <w:rsid w:val="00B3715B"/>
    <w:rsid w:val="00B4388B"/>
    <w:rsid w:val="00B448E5"/>
    <w:rsid w:val="00B45D4D"/>
    <w:rsid w:val="00B4612B"/>
    <w:rsid w:val="00B4628C"/>
    <w:rsid w:val="00B47F19"/>
    <w:rsid w:val="00B53B25"/>
    <w:rsid w:val="00B54BDE"/>
    <w:rsid w:val="00B55153"/>
    <w:rsid w:val="00B56C28"/>
    <w:rsid w:val="00B57142"/>
    <w:rsid w:val="00B60A10"/>
    <w:rsid w:val="00B6168D"/>
    <w:rsid w:val="00B63A84"/>
    <w:rsid w:val="00B649AA"/>
    <w:rsid w:val="00B66AF3"/>
    <w:rsid w:val="00B66BA6"/>
    <w:rsid w:val="00B67865"/>
    <w:rsid w:val="00B71807"/>
    <w:rsid w:val="00B73B51"/>
    <w:rsid w:val="00B8285D"/>
    <w:rsid w:val="00B8316E"/>
    <w:rsid w:val="00B85F0C"/>
    <w:rsid w:val="00B90B98"/>
    <w:rsid w:val="00B92E16"/>
    <w:rsid w:val="00B9424D"/>
    <w:rsid w:val="00B94404"/>
    <w:rsid w:val="00B961C4"/>
    <w:rsid w:val="00B9672A"/>
    <w:rsid w:val="00BA1560"/>
    <w:rsid w:val="00BA2636"/>
    <w:rsid w:val="00BA3FD9"/>
    <w:rsid w:val="00BA45AA"/>
    <w:rsid w:val="00BA4F0F"/>
    <w:rsid w:val="00BB052E"/>
    <w:rsid w:val="00BB1CD5"/>
    <w:rsid w:val="00BB1EF3"/>
    <w:rsid w:val="00BB4101"/>
    <w:rsid w:val="00BB6F35"/>
    <w:rsid w:val="00BB750E"/>
    <w:rsid w:val="00BC1B90"/>
    <w:rsid w:val="00BC2BB1"/>
    <w:rsid w:val="00BC6491"/>
    <w:rsid w:val="00BD1A97"/>
    <w:rsid w:val="00BD1DE8"/>
    <w:rsid w:val="00BD630F"/>
    <w:rsid w:val="00BD7A15"/>
    <w:rsid w:val="00BE2655"/>
    <w:rsid w:val="00BE2658"/>
    <w:rsid w:val="00BE7A4C"/>
    <w:rsid w:val="00BF3997"/>
    <w:rsid w:val="00C0402B"/>
    <w:rsid w:val="00C125C5"/>
    <w:rsid w:val="00C163E5"/>
    <w:rsid w:val="00C206B9"/>
    <w:rsid w:val="00C212AE"/>
    <w:rsid w:val="00C23382"/>
    <w:rsid w:val="00C24306"/>
    <w:rsid w:val="00C265FD"/>
    <w:rsid w:val="00C364CA"/>
    <w:rsid w:val="00C40CD1"/>
    <w:rsid w:val="00C50079"/>
    <w:rsid w:val="00C5529D"/>
    <w:rsid w:val="00C5552B"/>
    <w:rsid w:val="00C63F7A"/>
    <w:rsid w:val="00C64EAD"/>
    <w:rsid w:val="00C65C53"/>
    <w:rsid w:val="00C660D6"/>
    <w:rsid w:val="00C67D25"/>
    <w:rsid w:val="00C67E06"/>
    <w:rsid w:val="00C710BE"/>
    <w:rsid w:val="00C73631"/>
    <w:rsid w:val="00C750A5"/>
    <w:rsid w:val="00C75AF6"/>
    <w:rsid w:val="00C767A8"/>
    <w:rsid w:val="00C81EFA"/>
    <w:rsid w:val="00C83067"/>
    <w:rsid w:val="00C8479E"/>
    <w:rsid w:val="00C85812"/>
    <w:rsid w:val="00C92089"/>
    <w:rsid w:val="00C96B3D"/>
    <w:rsid w:val="00CA1446"/>
    <w:rsid w:val="00CA268C"/>
    <w:rsid w:val="00CA51D4"/>
    <w:rsid w:val="00CA792F"/>
    <w:rsid w:val="00CB1220"/>
    <w:rsid w:val="00CB1536"/>
    <w:rsid w:val="00CB20E7"/>
    <w:rsid w:val="00CB75A8"/>
    <w:rsid w:val="00CC11EC"/>
    <w:rsid w:val="00CC14BF"/>
    <w:rsid w:val="00CC1830"/>
    <w:rsid w:val="00CC3801"/>
    <w:rsid w:val="00CC46C0"/>
    <w:rsid w:val="00CC6E95"/>
    <w:rsid w:val="00CD305C"/>
    <w:rsid w:val="00CD5636"/>
    <w:rsid w:val="00CD5DFA"/>
    <w:rsid w:val="00CE01AC"/>
    <w:rsid w:val="00CE080A"/>
    <w:rsid w:val="00CF1969"/>
    <w:rsid w:val="00CF293E"/>
    <w:rsid w:val="00CF3717"/>
    <w:rsid w:val="00CF6CC1"/>
    <w:rsid w:val="00CF7235"/>
    <w:rsid w:val="00D00D17"/>
    <w:rsid w:val="00D00D8E"/>
    <w:rsid w:val="00D025C4"/>
    <w:rsid w:val="00D05E63"/>
    <w:rsid w:val="00D060AF"/>
    <w:rsid w:val="00D07CF4"/>
    <w:rsid w:val="00D17470"/>
    <w:rsid w:val="00D1754B"/>
    <w:rsid w:val="00D1757F"/>
    <w:rsid w:val="00D176DE"/>
    <w:rsid w:val="00D20B06"/>
    <w:rsid w:val="00D2346A"/>
    <w:rsid w:val="00D26E94"/>
    <w:rsid w:val="00D312C1"/>
    <w:rsid w:val="00D360D4"/>
    <w:rsid w:val="00D371A6"/>
    <w:rsid w:val="00D412DD"/>
    <w:rsid w:val="00D422B3"/>
    <w:rsid w:val="00D473A6"/>
    <w:rsid w:val="00D532B3"/>
    <w:rsid w:val="00D55C15"/>
    <w:rsid w:val="00D55E98"/>
    <w:rsid w:val="00D614E1"/>
    <w:rsid w:val="00D61979"/>
    <w:rsid w:val="00D64B87"/>
    <w:rsid w:val="00D7043B"/>
    <w:rsid w:val="00D7101D"/>
    <w:rsid w:val="00D723F8"/>
    <w:rsid w:val="00D77D26"/>
    <w:rsid w:val="00D86761"/>
    <w:rsid w:val="00D90C2B"/>
    <w:rsid w:val="00D9171A"/>
    <w:rsid w:val="00D92C96"/>
    <w:rsid w:val="00D931C6"/>
    <w:rsid w:val="00D97365"/>
    <w:rsid w:val="00D97546"/>
    <w:rsid w:val="00DA0BDA"/>
    <w:rsid w:val="00DA18B7"/>
    <w:rsid w:val="00DA288E"/>
    <w:rsid w:val="00DA4E80"/>
    <w:rsid w:val="00DA54DE"/>
    <w:rsid w:val="00DA791E"/>
    <w:rsid w:val="00DB02D2"/>
    <w:rsid w:val="00DB306F"/>
    <w:rsid w:val="00DB71CA"/>
    <w:rsid w:val="00DC0746"/>
    <w:rsid w:val="00DC0D80"/>
    <w:rsid w:val="00DC1490"/>
    <w:rsid w:val="00DC34C2"/>
    <w:rsid w:val="00DC78AF"/>
    <w:rsid w:val="00DD01BE"/>
    <w:rsid w:val="00DD22D9"/>
    <w:rsid w:val="00DD71FA"/>
    <w:rsid w:val="00DE4A96"/>
    <w:rsid w:val="00DE745F"/>
    <w:rsid w:val="00DF09AF"/>
    <w:rsid w:val="00DF1CBD"/>
    <w:rsid w:val="00DF204D"/>
    <w:rsid w:val="00DF24AD"/>
    <w:rsid w:val="00DF2FE8"/>
    <w:rsid w:val="00DF481D"/>
    <w:rsid w:val="00E005FD"/>
    <w:rsid w:val="00E01604"/>
    <w:rsid w:val="00E019BD"/>
    <w:rsid w:val="00E0280D"/>
    <w:rsid w:val="00E02BE5"/>
    <w:rsid w:val="00E0651B"/>
    <w:rsid w:val="00E068D3"/>
    <w:rsid w:val="00E10B62"/>
    <w:rsid w:val="00E12A75"/>
    <w:rsid w:val="00E17B0B"/>
    <w:rsid w:val="00E21B62"/>
    <w:rsid w:val="00E2349A"/>
    <w:rsid w:val="00E24842"/>
    <w:rsid w:val="00E254F7"/>
    <w:rsid w:val="00E26217"/>
    <w:rsid w:val="00E27C91"/>
    <w:rsid w:val="00E315F3"/>
    <w:rsid w:val="00E33ADA"/>
    <w:rsid w:val="00E34A9D"/>
    <w:rsid w:val="00E368BA"/>
    <w:rsid w:val="00E439AE"/>
    <w:rsid w:val="00E43F86"/>
    <w:rsid w:val="00E457CD"/>
    <w:rsid w:val="00E458B7"/>
    <w:rsid w:val="00E47B39"/>
    <w:rsid w:val="00E47CC4"/>
    <w:rsid w:val="00E54C84"/>
    <w:rsid w:val="00E55D10"/>
    <w:rsid w:val="00E60C21"/>
    <w:rsid w:val="00E60E1E"/>
    <w:rsid w:val="00E61363"/>
    <w:rsid w:val="00E6155D"/>
    <w:rsid w:val="00E6368B"/>
    <w:rsid w:val="00E63C38"/>
    <w:rsid w:val="00E66417"/>
    <w:rsid w:val="00E742BF"/>
    <w:rsid w:val="00E74CE1"/>
    <w:rsid w:val="00E85F0E"/>
    <w:rsid w:val="00E936F7"/>
    <w:rsid w:val="00E95159"/>
    <w:rsid w:val="00E951DC"/>
    <w:rsid w:val="00EA02D3"/>
    <w:rsid w:val="00EA28ED"/>
    <w:rsid w:val="00EB1664"/>
    <w:rsid w:val="00EB254D"/>
    <w:rsid w:val="00EB6CA6"/>
    <w:rsid w:val="00EB7219"/>
    <w:rsid w:val="00EC0C9D"/>
    <w:rsid w:val="00EC15F3"/>
    <w:rsid w:val="00EC2BB7"/>
    <w:rsid w:val="00EC39A5"/>
    <w:rsid w:val="00EC441F"/>
    <w:rsid w:val="00ED064A"/>
    <w:rsid w:val="00ED07F4"/>
    <w:rsid w:val="00ED3C12"/>
    <w:rsid w:val="00EE2FBB"/>
    <w:rsid w:val="00EE6E42"/>
    <w:rsid w:val="00EF3601"/>
    <w:rsid w:val="00EF3640"/>
    <w:rsid w:val="00EF5B7E"/>
    <w:rsid w:val="00F03FDB"/>
    <w:rsid w:val="00F041AA"/>
    <w:rsid w:val="00F049E3"/>
    <w:rsid w:val="00F052DF"/>
    <w:rsid w:val="00F05AED"/>
    <w:rsid w:val="00F07AF0"/>
    <w:rsid w:val="00F100DD"/>
    <w:rsid w:val="00F13EA6"/>
    <w:rsid w:val="00F14666"/>
    <w:rsid w:val="00F16E95"/>
    <w:rsid w:val="00F20187"/>
    <w:rsid w:val="00F208C2"/>
    <w:rsid w:val="00F2168F"/>
    <w:rsid w:val="00F21B46"/>
    <w:rsid w:val="00F2292D"/>
    <w:rsid w:val="00F23444"/>
    <w:rsid w:val="00F2703E"/>
    <w:rsid w:val="00F3314E"/>
    <w:rsid w:val="00F33213"/>
    <w:rsid w:val="00F36B71"/>
    <w:rsid w:val="00F37DF4"/>
    <w:rsid w:val="00F42247"/>
    <w:rsid w:val="00F438EC"/>
    <w:rsid w:val="00F4424C"/>
    <w:rsid w:val="00F46EEB"/>
    <w:rsid w:val="00F56998"/>
    <w:rsid w:val="00F60A61"/>
    <w:rsid w:val="00F61C9A"/>
    <w:rsid w:val="00F63B7F"/>
    <w:rsid w:val="00F648B2"/>
    <w:rsid w:val="00F66CEC"/>
    <w:rsid w:val="00F70B90"/>
    <w:rsid w:val="00F74B74"/>
    <w:rsid w:val="00F74D6D"/>
    <w:rsid w:val="00F76CBF"/>
    <w:rsid w:val="00F81CCF"/>
    <w:rsid w:val="00F85256"/>
    <w:rsid w:val="00F87E93"/>
    <w:rsid w:val="00F931E3"/>
    <w:rsid w:val="00F94DF7"/>
    <w:rsid w:val="00F95647"/>
    <w:rsid w:val="00FB734F"/>
    <w:rsid w:val="00FC1651"/>
    <w:rsid w:val="00FC1847"/>
    <w:rsid w:val="00FC1CA2"/>
    <w:rsid w:val="00FC348B"/>
    <w:rsid w:val="00FC3B46"/>
    <w:rsid w:val="00FD18F1"/>
    <w:rsid w:val="00FD38C9"/>
    <w:rsid w:val="00FD3A9C"/>
    <w:rsid w:val="00FD494C"/>
    <w:rsid w:val="00FD6FE4"/>
    <w:rsid w:val="00FD7C80"/>
    <w:rsid w:val="00FE0F8E"/>
    <w:rsid w:val="00FE1852"/>
    <w:rsid w:val="00FE3E08"/>
    <w:rsid w:val="00FE3F45"/>
    <w:rsid w:val="00FE5387"/>
    <w:rsid w:val="00FF20BE"/>
    <w:rsid w:val="00FF25E1"/>
    <w:rsid w:val="00FF2852"/>
    <w:rsid w:val="00FF4E0B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13EA8"/>
    <w:pPr>
      <w:keepNext/>
      <w:numPr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13EA8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213EA8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3EA8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213EA8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C500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13EA8"/>
    <w:rPr>
      <w:rFonts w:ascii="Arial" w:hAnsi="Arial" w:cs="Arial"/>
      <w:sz w:val="24"/>
      <w:szCs w:val="24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13EA8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13EA8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13EA8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3EA8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13EA8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213EA8"/>
    <w:pPr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13EA8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i/>
      <w:iCs/>
      <w:color w:val="1F497D" w:themeColor="text2"/>
      <w:sz w:val="18"/>
      <w:szCs w:val="18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E0D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unhideWhenUsed/>
    <w:rsid w:val="00475966"/>
    <w:rPr>
      <w:color w:val="808080"/>
    </w:rPr>
  </w:style>
  <w:style w:type="table" w:customStyle="1" w:styleId="GridTable4Accent1">
    <w:name w:val="Grid Table 4 Accent 1"/>
    <w:basedOn w:val="Tablanormal"/>
    <w:uiPriority w:val="49"/>
    <w:rsid w:val="0033170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15AFA"/>
    <w:rPr>
      <w:color w:val="800080"/>
      <w:u w:val="single"/>
    </w:rPr>
  </w:style>
  <w:style w:type="paragraph" w:customStyle="1" w:styleId="msonormal0">
    <w:name w:val="msonormal"/>
    <w:basedOn w:val="Normal"/>
    <w:rsid w:val="0011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70">
    <w:name w:val="xl7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3">
    <w:name w:val="xl83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4">
    <w:name w:val="xl84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5">
    <w:name w:val="xl85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86">
    <w:name w:val="xl86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es-CO"/>
    </w:rPr>
  </w:style>
  <w:style w:type="paragraph" w:customStyle="1" w:styleId="xl87">
    <w:name w:val="xl87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88">
    <w:name w:val="xl88"/>
    <w:basedOn w:val="Normal"/>
    <w:rsid w:val="00115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0D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0D7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A0D70"/>
    <w:rPr>
      <w:vertAlign w:val="superscript"/>
    </w:rPr>
  </w:style>
  <w:style w:type="table" w:customStyle="1" w:styleId="GridTable5DarkAccent1">
    <w:name w:val="Grid Table 5 Dark Accent 1"/>
    <w:basedOn w:val="Tablanormal"/>
    <w:uiPriority w:val="50"/>
    <w:rsid w:val="007E3A3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333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36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33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ogota.gov.co/sdq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ENERO%20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CONSOLIDADO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>
                    <a:lumMod val="95000"/>
                    <a:lumOff val="5000"/>
                  </a:schemeClr>
                </a:solidFill>
              </a:rPr>
              <a:t>Grafico No. 1 - TOTAL</a:t>
            </a:r>
            <a:r>
              <a:rPr lang="es-CO" sz="1600" b="1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 PQRSD FEBRERO</a:t>
            </a:r>
            <a:endParaRPr lang="es-CO" sz="1600" b="1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40"/>
      <c:rotY val="20"/>
      <c:depthPercent val="10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764616379474292E-2"/>
          <c:y val="0.16972293448909664"/>
          <c:w val="0.89217661801936599"/>
          <c:h val="0.6757899354799670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3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79D-4B8A-997E-05350632FEB7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9D-4B8A-997E-05350632FEB7}"/>
              </c:ext>
            </c:extLst>
          </c:dPt>
          <c:dLbls>
            <c:dLbl>
              <c:idx val="0"/>
              <c:layout>
                <c:manualLayout>
                  <c:x val="-0.11167814168156516"/>
                  <c:y val="3.82046336426966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28,93%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9D-4B8A-997E-05350632FEB7}"/>
                </c:ext>
              </c:extLst>
            </c:dLbl>
            <c:dLbl>
              <c:idx val="1"/>
              <c:layout>
                <c:manualLayout>
                  <c:x val="0.1301358827731075"/>
                  <c:y val="-0.12045595165157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71,07%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9D-4B8A-997E-05350632F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Hoja3!$AB$2:$AB$3</c:f>
              <c:strCache>
                <c:ptCount val="2"/>
                <c:pt idx="0">
                  <c:v>PQRSD a responder en enero</c:v>
                </c:pt>
                <c:pt idx="1">
                  <c:v>PQRSD a responder en otro mes</c:v>
                </c:pt>
              </c:strCache>
            </c:strRef>
          </c:cat>
          <c:val>
            <c:numRef>
              <c:f>Hoja3!$AC$2:$AC$3</c:f>
              <c:numCache>
                <c:formatCode>General</c:formatCode>
                <c:ptCount val="2"/>
                <c:pt idx="0">
                  <c:v>79</c:v>
                </c:pt>
                <c:pt idx="1">
                  <c:v>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9D-4B8A-997E-05350632FE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9.8348020507098455E-2"/>
          <c:y val="0.84952929875120076"/>
          <c:w val="0.8363580880892304"/>
          <c:h val="7.87840280771819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/>
                </a:solidFill>
              </a:rPr>
              <a:t>GRAFICA No. 2 - PORCENTAJE DE DIAS</a:t>
            </a:r>
            <a:r>
              <a:rPr lang="es-CO" sz="1600" b="1" baseline="0">
                <a:solidFill>
                  <a:schemeClr val="tx1"/>
                </a:solidFill>
              </a:rPr>
              <a:t> UTILIZADOS</a:t>
            </a:r>
            <a:endParaRPr lang="es-CO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F4-4703-8E56-3C40DFDFA2E7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7F4-4703-8E56-3C40DFDFA2E7}"/>
              </c:ext>
            </c:extLst>
          </c:dPt>
          <c:dLbls>
            <c:dLbl>
              <c:idx val="0"/>
              <c:layout>
                <c:manualLayout>
                  <c:x val="0.18706849245140958"/>
                  <c:y val="-0.193404563806294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62,47%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F4-4703-8E56-3C40DFDFA2E7}"/>
                </c:ext>
              </c:extLst>
            </c:dLbl>
            <c:dLbl>
              <c:idx val="1"/>
              <c:layout>
                <c:manualLayout>
                  <c:x val="-0.13993729714093689"/>
                  <c:y val="8.94865903801684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37,53%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F4-4703-8E56-3C40DFDFA2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Hoja1!$I$7:$J$7</c:f>
              <c:strCache>
                <c:ptCount val="2"/>
                <c:pt idx="0">
                  <c:v>Promedio Dias Utilizados </c:v>
                </c:pt>
                <c:pt idx="1">
                  <c:v>Ahorro</c:v>
                </c:pt>
              </c:strCache>
            </c:strRef>
          </c:cat>
          <c:val>
            <c:numRef>
              <c:f>Hoja1!$I$8:$J$8</c:f>
              <c:numCache>
                <c:formatCode>0.00%</c:formatCode>
                <c:ptCount val="2"/>
                <c:pt idx="0" formatCode="0%">
                  <c:v>0.73219999999999996</c:v>
                </c:pt>
                <c:pt idx="1">
                  <c:v>0.26779999999999998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7F4-4703-8E56-3C40DFDFA2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1A633-20B8-405C-A8A7-3F1292AD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2470</Words>
  <Characters>13590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16028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2017-09-11T19:41:00Z</cp:lastPrinted>
  <dcterms:created xsi:type="dcterms:W3CDTF">2018-08-28T19:59:00Z</dcterms:created>
  <dcterms:modified xsi:type="dcterms:W3CDTF">2018-08-28T19:59:00Z</dcterms:modified>
</cp:coreProperties>
</file>