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8B6750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 w:rsidRPr="007E2536">
        <w:rPr>
          <w:b/>
          <w:color w:val="000000" w:themeColor="text1"/>
          <w:sz w:val="36"/>
          <w:szCs w:val="36"/>
        </w:rPr>
        <w:t>INFORME DE GESTIÓN MENSUAL A LAS PQRSD</w:t>
      </w:r>
    </w:p>
    <w:p w14:paraId="410738E9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E2536">
        <w:rPr>
          <w:b/>
          <w:color w:val="000000" w:themeColor="text1"/>
          <w:sz w:val="28"/>
          <w:szCs w:val="28"/>
        </w:rPr>
        <w:t>CAJA DE LA VIVIENDA POPULAR</w:t>
      </w:r>
    </w:p>
    <w:p w14:paraId="4D1F1C1C" w14:textId="77777777" w:rsidR="00640ED7" w:rsidRPr="007E2536" w:rsidRDefault="00640ED7" w:rsidP="00986D26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7E2536">
        <w:rPr>
          <w:b/>
          <w:color w:val="000000" w:themeColor="text1"/>
          <w:sz w:val="28"/>
          <w:szCs w:val="28"/>
        </w:rPr>
        <w:t>PROCESO DE SERVICIO AL CIUDADANO</w:t>
      </w:r>
    </w:p>
    <w:p w14:paraId="4B297AC9" w14:textId="76B2BAAF" w:rsidR="00A84DF9" w:rsidRPr="007E2536" w:rsidRDefault="002C5683" w:rsidP="00986D26">
      <w:pPr>
        <w:pStyle w:val="Default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8"/>
          <w:szCs w:val="28"/>
        </w:rPr>
        <w:t>AGOSTO</w:t>
      </w:r>
      <w:r w:rsidR="00640ED7" w:rsidRPr="007E2536">
        <w:rPr>
          <w:b/>
          <w:color w:val="000000" w:themeColor="text1"/>
          <w:sz w:val="28"/>
          <w:szCs w:val="28"/>
        </w:rPr>
        <w:t xml:space="preserve"> 2018</w:t>
      </w:r>
    </w:p>
    <w:p w14:paraId="0A5D1546" w14:textId="77777777" w:rsidR="00640ED7" w:rsidRPr="007E2536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4ED54E08" w14:textId="63C8534F" w:rsidR="00640ED7" w:rsidRPr="007E2536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  <w:r w:rsidRPr="007E2536">
        <w:rPr>
          <w:color w:val="000000" w:themeColor="text1"/>
          <w:sz w:val="22"/>
          <w:szCs w:val="22"/>
        </w:rPr>
        <w:t xml:space="preserve">En cumplimiento de lo dispuesto en las normas, Ley 1755 de 2015, Decreto Ley 1421 de 1993, Estatuto Orgánico de Bogotá, Acuerdo 24 de 1993, Acuerdo 207 de 2006 y Decreto Distrital 371 de 2010, nos permitirnos presentar el presente Informe de Gestión a las Peticiones, Quejas, Reclamos, Sugerencias y Denuncias por Actos de Corrupción (PQRSD) que la Caja de la Vivienda Popular (CVP) recibió durante el mes de </w:t>
      </w:r>
      <w:r w:rsidR="00262BC0">
        <w:rPr>
          <w:color w:val="000000" w:themeColor="text1"/>
          <w:sz w:val="22"/>
          <w:szCs w:val="22"/>
        </w:rPr>
        <w:t>agosto</w:t>
      </w:r>
      <w:r w:rsidRPr="007E2536">
        <w:rPr>
          <w:color w:val="000000" w:themeColor="text1"/>
          <w:sz w:val="22"/>
          <w:szCs w:val="22"/>
        </w:rPr>
        <w:t xml:space="preserve"> del 2018</w:t>
      </w:r>
    </w:p>
    <w:p w14:paraId="35C6E4A7" w14:textId="60A69B2B" w:rsidR="00640ED7" w:rsidRDefault="00640ED7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729BADA4" w14:textId="77777777" w:rsidR="00986D26" w:rsidRPr="007E2536" w:rsidRDefault="00986D26" w:rsidP="00986D26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42E3F4E" w14:textId="32B20579" w:rsidR="00A84DF9" w:rsidRPr="007E2536" w:rsidRDefault="00521843" w:rsidP="00986D26">
      <w:pPr>
        <w:pStyle w:val="Default"/>
        <w:numPr>
          <w:ilvl w:val="0"/>
          <w:numId w:val="4"/>
        </w:numPr>
        <w:ind w:left="567"/>
        <w:rPr>
          <w:b/>
          <w:color w:val="000000" w:themeColor="text1"/>
          <w:sz w:val="22"/>
          <w:szCs w:val="22"/>
        </w:rPr>
      </w:pPr>
      <w:r w:rsidRPr="007E2536">
        <w:rPr>
          <w:b/>
          <w:color w:val="000000" w:themeColor="text1"/>
          <w:sz w:val="22"/>
          <w:szCs w:val="22"/>
        </w:rPr>
        <w:t>NUMERO DE</w:t>
      </w:r>
      <w:r w:rsidR="00A84DF9" w:rsidRPr="007E2536">
        <w:rPr>
          <w:b/>
          <w:color w:val="000000" w:themeColor="text1"/>
          <w:sz w:val="22"/>
          <w:szCs w:val="22"/>
        </w:rPr>
        <w:t xml:space="preserve"> </w:t>
      </w:r>
      <w:r w:rsidR="00DB23F3" w:rsidRPr="007E2536">
        <w:rPr>
          <w:b/>
          <w:color w:val="000000" w:themeColor="text1"/>
          <w:sz w:val="22"/>
          <w:szCs w:val="22"/>
        </w:rPr>
        <w:t>PQRSD</w:t>
      </w:r>
      <w:r w:rsidR="00A84DF9" w:rsidRPr="007E2536">
        <w:rPr>
          <w:b/>
          <w:color w:val="000000" w:themeColor="text1"/>
          <w:sz w:val="22"/>
          <w:szCs w:val="22"/>
        </w:rPr>
        <w:t xml:space="preserve"> RECIBIDAS POR LA CAJA DE LA VIVIENDA POPULAR</w:t>
      </w:r>
    </w:p>
    <w:p w14:paraId="00DCD92C" w14:textId="7C65AC48" w:rsidR="00FA104E" w:rsidRPr="007E2536" w:rsidRDefault="00FA104E" w:rsidP="00986D2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5DA36910" w14:textId="443D23B1" w:rsidR="005A431E" w:rsidRPr="007E2536" w:rsidRDefault="005A431E" w:rsidP="005A431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E2536">
        <w:rPr>
          <w:rFonts w:ascii="Arial" w:hAnsi="Arial" w:cs="Arial"/>
        </w:rPr>
        <w:t xml:space="preserve">Durante </w:t>
      </w:r>
      <w:r>
        <w:rPr>
          <w:rFonts w:ascii="Arial" w:hAnsi="Arial" w:cs="Arial"/>
        </w:rPr>
        <w:t>agosto</w:t>
      </w:r>
      <w:r w:rsidRPr="007E2536">
        <w:rPr>
          <w:rFonts w:ascii="Arial" w:hAnsi="Arial" w:cs="Arial"/>
        </w:rPr>
        <w:t xml:space="preserve"> de 2018, se recibió un total de 28</w:t>
      </w:r>
      <w:r>
        <w:rPr>
          <w:rFonts w:ascii="Arial" w:hAnsi="Arial" w:cs="Arial"/>
        </w:rPr>
        <w:t>3</w:t>
      </w:r>
      <w:r w:rsidRPr="007E2536">
        <w:rPr>
          <w:rFonts w:ascii="Arial" w:hAnsi="Arial" w:cs="Arial"/>
        </w:rPr>
        <w:t xml:space="preserve"> PQRSD, las cuales en su totalidad fueron ingresadas en el Sistema Distrital de Quejas y Soluciones (SDQS), cumpliendo el Decreto 371 de 2010. En comparación con el mes anterior (ju</w:t>
      </w:r>
      <w:r w:rsidR="005531E6">
        <w:rPr>
          <w:rFonts w:ascii="Arial" w:hAnsi="Arial" w:cs="Arial"/>
        </w:rPr>
        <w:t>l</w:t>
      </w:r>
      <w:r w:rsidRPr="007E2536">
        <w:rPr>
          <w:rFonts w:ascii="Arial" w:hAnsi="Arial" w:cs="Arial"/>
        </w:rPr>
        <w:t>io), existió una reducción del 1,</w:t>
      </w:r>
      <w:r w:rsidR="009E0011">
        <w:rPr>
          <w:rFonts w:ascii="Arial" w:hAnsi="Arial" w:cs="Arial"/>
        </w:rPr>
        <w:t>74</w:t>
      </w:r>
      <w:r w:rsidRPr="007E2536">
        <w:rPr>
          <w:rFonts w:ascii="Arial" w:hAnsi="Arial" w:cs="Arial"/>
        </w:rPr>
        <w:t>% de PQRSD recibidas.</w:t>
      </w:r>
    </w:p>
    <w:p w14:paraId="25B0F4B7" w14:textId="77777777" w:rsidR="00D64D9F" w:rsidRPr="007E2536" w:rsidRDefault="00D64D9F" w:rsidP="00986D2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</w:p>
    <w:p w14:paraId="3F94A390" w14:textId="4C1096D6" w:rsidR="00A84DF9" w:rsidRPr="007E2536" w:rsidRDefault="002C5683" w:rsidP="00986D26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>
        <w:rPr>
          <w:noProof/>
          <w:lang w:eastAsia="es-CO"/>
        </w:rPr>
        <w:drawing>
          <wp:inline distT="0" distB="0" distL="0" distR="0" wp14:anchorId="33777678" wp14:editId="31FF4199">
            <wp:extent cx="5962650" cy="34290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453A287" w14:textId="2B74283B" w:rsidR="00A84DF9" w:rsidRPr="007E2536" w:rsidRDefault="00290983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1.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>P</w:t>
      </w:r>
      <w:r w:rsidR="00DB23F3" w:rsidRPr="007E2536">
        <w:rPr>
          <w:rFonts w:ascii="Arial" w:hAnsi="Arial" w:cs="Arial"/>
          <w:color w:val="000000" w:themeColor="text1"/>
          <w:sz w:val="18"/>
          <w:szCs w:val="18"/>
        </w:rPr>
        <w:t>QRSD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 xml:space="preserve"> recibidas en 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>agosto</w:t>
      </w:r>
    </w:p>
    <w:p w14:paraId="3DEF7B48" w14:textId="41FE5770" w:rsidR="00521843" w:rsidRDefault="00521843" w:rsidP="00986D2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14:paraId="72E52C14" w14:textId="28EFE61A" w:rsidR="00A84DF9" w:rsidRPr="007E2536" w:rsidRDefault="00A84DF9" w:rsidP="00986D26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lastRenderedPageBreak/>
        <w:t>CANALES DE INTERACCIÓN</w:t>
      </w:r>
    </w:p>
    <w:p w14:paraId="47969F3B" w14:textId="29E2ADFA" w:rsidR="00FA104E" w:rsidRDefault="00FA104E" w:rsidP="00986D26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1436D5A3" w14:textId="5FFADB7F" w:rsidR="00B41B76" w:rsidRDefault="00B41B76" w:rsidP="00B41B76">
      <w:pPr>
        <w:spacing w:after="0" w:line="240" w:lineRule="auto"/>
        <w:jc w:val="both"/>
        <w:rPr>
          <w:rFonts w:ascii="Arial" w:hAnsi="Arial" w:cs="Arial"/>
          <w:color w:val="FF0000"/>
        </w:rPr>
      </w:pPr>
      <w:r w:rsidRPr="002946F1">
        <w:rPr>
          <w:rFonts w:ascii="Arial" w:hAnsi="Arial" w:cs="Arial"/>
          <w:color w:val="000000" w:themeColor="text1"/>
          <w:lang w:val="es-ES"/>
        </w:rPr>
        <w:t xml:space="preserve">De los canales dispuestos para la recepción de PQRSD se identificó que los más utilizados por la ciudadanía fueron: el canal Escrito con una participación del </w:t>
      </w:r>
      <w:r w:rsidRPr="00B41B76">
        <w:rPr>
          <w:rFonts w:ascii="Arial" w:hAnsi="Arial" w:cs="Arial"/>
          <w:color w:val="000000" w:themeColor="text1"/>
          <w:lang w:val="es-ES"/>
        </w:rPr>
        <w:t>85,8</w:t>
      </w:r>
      <w:r>
        <w:rPr>
          <w:rFonts w:ascii="Arial" w:hAnsi="Arial" w:cs="Arial"/>
          <w:color w:val="000000" w:themeColor="text1"/>
          <w:lang w:val="es-ES"/>
        </w:rPr>
        <w:t>7</w:t>
      </w:r>
      <w:r w:rsidRPr="002946F1">
        <w:rPr>
          <w:rFonts w:ascii="Arial" w:hAnsi="Arial" w:cs="Arial"/>
          <w:color w:val="000000" w:themeColor="text1"/>
          <w:lang w:val="es-ES"/>
        </w:rPr>
        <w:t>%</w:t>
      </w:r>
      <w:r>
        <w:rPr>
          <w:rFonts w:ascii="Arial" w:hAnsi="Arial" w:cs="Arial"/>
          <w:color w:val="000000" w:themeColor="text1"/>
          <w:lang w:val="es-ES"/>
        </w:rPr>
        <w:t xml:space="preserve"> (243)</w:t>
      </w:r>
      <w:r w:rsidRPr="002946F1">
        <w:rPr>
          <w:rFonts w:ascii="Arial" w:hAnsi="Arial" w:cs="Arial"/>
          <w:color w:val="000000" w:themeColor="text1"/>
          <w:lang w:val="es-ES"/>
        </w:rPr>
        <w:t xml:space="preserve"> y el canal Virtual (E-Mail y Web) con una participación del </w:t>
      </w:r>
      <w:r w:rsidR="008F5245" w:rsidRPr="008F5245">
        <w:rPr>
          <w:rFonts w:ascii="Arial" w:hAnsi="Arial" w:cs="Arial"/>
          <w:color w:val="000000" w:themeColor="text1"/>
          <w:lang w:val="es-ES"/>
        </w:rPr>
        <w:t>12,72</w:t>
      </w:r>
      <w:r w:rsidRPr="002946F1">
        <w:rPr>
          <w:rFonts w:ascii="Arial" w:hAnsi="Arial" w:cs="Arial"/>
          <w:color w:val="000000" w:themeColor="text1"/>
          <w:lang w:val="es-ES"/>
        </w:rPr>
        <w:t>%</w:t>
      </w:r>
      <w:r>
        <w:rPr>
          <w:rFonts w:ascii="Arial" w:hAnsi="Arial" w:cs="Arial"/>
          <w:color w:val="000000" w:themeColor="text1"/>
          <w:lang w:val="es-ES"/>
        </w:rPr>
        <w:t xml:space="preserve"> (</w:t>
      </w:r>
      <w:r w:rsidR="008F5245">
        <w:rPr>
          <w:rFonts w:ascii="Arial" w:hAnsi="Arial" w:cs="Arial"/>
          <w:color w:val="000000" w:themeColor="text1"/>
          <w:lang w:val="es-ES"/>
        </w:rPr>
        <w:t>36</w:t>
      </w:r>
      <w:r>
        <w:rPr>
          <w:rFonts w:ascii="Arial" w:hAnsi="Arial" w:cs="Arial"/>
          <w:color w:val="000000" w:themeColor="text1"/>
          <w:lang w:val="es-ES"/>
        </w:rPr>
        <w:t>)</w:t>
      </w:r>
      <w:r w:rsidRPr="002946F1">
        <w:rPr>
          <w:rFonts w:ascii="Arial" w:hAnsi="Arial" w:cs="Arial"/>
          <w:color w:val="000000" w:themeColor="text1"/>
          <w:lang w:val="es-ES"/>
        </w:rPr>
        <w:t xml:space="preserve"> del total de peticiones registradas. Proporcionalmente frente al mes anterior, existió un</w:t>
      </w:r>
      <w:r>
        <w:rPr>
          <w:rFonts w:ascii="Arial" w:hAnsi="Arial" w:cs="Arial"/>
          <w:color w:val="000000" w:themeColor="text1"/>
          <w:lang w:val="es-ES"/>
        </w:rPr>
        <w:t xml:space="preserve">a reducción </w:t>
      </w:r>
      <w:r w:rsidRPr="002946F1">
        <w:rPr>
          <w:rFonts w:ascii="Arial" w:hAnsi="Arial" w:cs="Arial"/>
          <w:color w:val="000000" w:themeColor="text1"/>
          <w:lang w:val="es-ES"/>
        </w:rPr>
        <w:t xml:space="preserve">del </w:t>
      </w:r>
      <w:r w:rsidR="00D33D58">
        <w:rPr>
          <w:rFonts w:ascii="Arial" w:hAnsi="Arial" w:cs="Arial"/>
          <w:color w:val="000000" w:themeColor="text1"/>
          <w:lang w:val="es-ES"/>
        </w:rPr>
        <w:t>9,46</w:t>
      </w:r>
      <w:r w:rsidRPr="002946F1">
        <w:rPr>
          <w:rFonts w:ascii="Arial" w:hAnsi="Arial" w:cs="Arial"/>
          <w:color w:val="000000" w:themeColor="text1"/>
          <w:lang w:val="es-ES"/>
        </w:rPr>
        <w:t>% frente al canal Escrito.</w:t>
      </w:r>
    </w:p>
    <w:p w14:paraId="70FEB1E4" w14:textId="77777777" w:rsidR="00B41B76" w:rsidRPr="00B41B76" w:rsidRDefault="00B41B76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5CD8E19E" w14:textId="01529F26" w:rsidR="00A84DF9" w:rsidRPr="007E2536" w:rsidRDefault="002C5683" w:rsidP="00986D26">
      <w:pPr>
        <w:spacing w:after="0" w:line="240" w:lineRule="auto"/>
        <w:rPr>
          <w:rFonts w:ascii="Arial" w:hAnsi="Arial" w:cs="Arial"/>
          <w:color w:val="FF0000"/>
        </w:rPr>
      </w:pPr>
      <w:r>
        <w:rPr>
          <w:noProof/>
          <w:lang w:eastAsia="es-CO"/>
        </w:rPr>
        <w:drawing>
          <wp:inline distT="0" distB="0" distL="0" distR="0" wp14:anchorId="59B01B77" wp14:editId="56271C9F">
            <wp:extent cx="5953125" cy="34290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C333C8E" w14:textId="0B0F9E6A" w:rsidR="00862140" w:rsidRPr="007E2536" w:rsidRDefault="00B40A6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Grafica 2.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PQRSD recibidas por los canales de atención</w:t>
      </w:r>
    </w:p>
    <w:p w14:paraId="0E4CC465" w14:textId="00283711" w:rsidR="00521843" w:rsidRPr="007E2536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  <w:lang w:val="es-ES"/>
        </w:rPr>
        <w:t>Fuente: SDQS</w:t>
      </w:r>
      <w:r w:rsidR="002C5683">
        <w:rPr>
          <w:rFonts w:ascii="Arial" w:hAnsi="Arial" w:cs="Arial"/>
          <w:color w:val="000000" w:themeColor="text1"/>
          <w:sz w:val="18"/>
          <w:szCs w:val="18"/>
          <w:lang w:val="es-ES"/>
        </w:rPr>
        <w:t xml:space="preserve"> </w:t>
      </w:r>
      <w:r w:rsidR="002C5683">
        <w:rPr>
          <w:rFonts w:ascii="Arial" w:hAnsi="Arial" w:cs="Arial"/>
          <w:color w:val="000000" w:themeColor="text1"/>
          <w:sz w:val="18"/>
          <w:szCs w:val="18"/>
        </w:rPr>
        <w:t>- Servicio al Ciudadano</w:t>
      </w:r>
    </w:p>
    <w:p w14:paraId="3AAC8513" w14:textId="6E8510E0" w:rsidR="00521843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01E55598" w14:textId="77777777" w:rsidR="007F7FAA" w:rsidRPr="007E2536" w:rsidRDefault="007F7FA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lang w:val="es-ES"/>
        </w:rPr>
      </w:pPr>
    </w:p>
    <w:p w14:paraId="2124D063" w14:textId="16CB2B47" w:rsidR="0010389A" w:rsidRPr="007E2536" w:rsidRDefault="000A48C0" w:rsidP="00986D2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t>TIPOLOGÍAS</w:t>
      </w:r>
    </w:p>
    <w:p w14:paraId="4E1C2ABF" w14:textId="77777777" w:rsidR="000A48C0" w:rsidRDefault="000A48C0" w:rsidP="00986D26">
      <w:pPr>
        <w:spacing w:after="0" w:line="240" w:lineRule="auto"/>
        <w:jc w:val="both"/>
        <w:rPr>
          <w:rFonts w:ascii="Arial" w:hAnsi="Arial" w:cs="Arial"/>
        </w:rPr>
      </w:pPr>
    </w:p>
    <w:p w14:paraId="33ACECA1" w14:textId="4F4BD7CC" w:rsidR="00894029" w:rsidRPr="00686729" w:rsidRDefault="00894029" w:rsidP="00894029">
      <w:pPr>
        <w:spacing w:after="0" w:line="240" w:lineRule="auto"/>
        <w:jc w:val="both"/>
        <w:rPr>
          <w:rFonts w:ascii="Arial" w:hAnsi="Arial" w:cs="Arial"/>
        </w:rPr>
      </w:pPr>
      <w:r w:rsidRPr="00686729">
        <w:rPr>
          <w:rFonts w:ascii="Arial" w:hAnsi="Arial" w:cs="Arial"/>
        </w:rPr>
        <w:t>Del total de PQRSD (</w:t>
      </w:r>
      <w:r>
        <w:rPr>
          <w:rFonts w:ascii="Arial" w:hAnsi="Arial" w:cs="Arial"/>
        </w:rPr>
        <w:t>283</w:t>
      </w:r>
      <w:r w:rsidRPr="00686729">
        <w:rPr>
          <w:rFonts w:ascii="Arial" w:hAnsi="Arial" w:cs="Arial"/>
        </w:rPr>
        <w:t xml:space="preserve">) recibidas en </w:t>
      </w:r>
      <w:r>
        <w:rPr>
          <w:rFonts w:ascii="Arial" w:hAnsi="Arial" w:cs="Arial"/>
        </w:rPr>
        <w:t>agosto</w:t>
      </w:r>
      <w:r w:rsidRPr="00686729">
        <w:rPr>
          <w:rFonts w:ascii="Arial" w:hAnsi="Arial" w:cs="Arial"/>
        </w:rPr>
        <w:t xml:space="preserve">, el Derecho de Petición de Interés Particular (DPIP) fue la tipología más utilizada por la ciudadanía, con una participación del </w:t>
      </w:r>
      <w:r w:rsidR="00A947CB" w:rsidRPr="00A947CB">
        <w:rPr>
          <w:rFonts w:ascii="Arial" w:hAnsi="Arial" w:cs="Arial"/>
        </w:rPr>
        <w:t>90,4</w:t>
      </w:r>
      <w:r w:rsidR="00A947CB">
        <w:rPr>
          <w:rFonts w:ascii="Arial" w:hAnsi="Arial" w:cs="Arial"/>
        </w:rPr>
        <w:t>6</w:t>
      </w:r>
      <w:r w:rsidRPr="00686729">
        <w:rPr>
          <w:rFonts w:ascii="Arial" w:hAnsi="Arial" w:cs="Arial"/>
        </w:rPr>
        <w:t>% (2</w:t>
      </w:r>
      <w:r w:rsidR="00A947CB">
        <w:rPr>
          <w:rFonts w:ascii="Arial" w:hAnsi="Arial" w:cs="Arial"/>
        </w:rPr>
        <w:t>5</w:t>
      </w:r>
      <w:r>
        <w:rPr>
          <w:rFonts w:ascii="Arial" w:hAnsi="Arial" w:cs="Arial"/>
        </w:rPr>
        <w:t>6</w:t>
      </w:r>
      <w:r w:rsidRPr="00686729">
        <w:rPr>
          <w:rFonts w:ascii="Arial" w:hAnsi="Arial" w:cs="Arial"/>
        </w:rPr>
        <w:t>). Algo lejos se ubica la Solicitud de Copia (SC)</w:t>
      </w:r>
      <w:r>
        <w:rPr>
          <w:rFonts w:ascii="Arial" w:hAnsi="Arial" w:cs="Arial"/>
        </w:rPr>
        <w:t xml:space="preserve"> con una participación del </w:t>
      </w:r>
      <w:r w:rsidR="00D25E6F" w:rsidRPr="00D25E6F">
        <w:rPr>
          <w:rFonts w:ascii="Arial" w:hAnsi="Arial" w:cs="Arial"/>
        </w:rPr>
        <w:t>4,59</w:t>
      </w:r>
      <w:r>
        <w:rPr>
          <w:rFonts w:ascii="Arial" w:hAnsi="Arial" w:cs="Arial"/>
        </w:rPr>
        <w:t>% (1</w:t>
      </w:r>
      <w:r w:rsidR="00D25E6F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) y </w:t>
      </w:r>
      <w:r w:rsidRPr="00686729">
        <w:rPr>
          <w:rFonts w:ascii="Arial" w:hAnsi="Arial" w:cs="Arial"/>
        </w:rPr>
        <w:t>el Derecho de Petición de Interés General</w:t>
      </w:r>
      <w:r w:rsidR="001A10D4">
        <w:rPr>
          <w:rFonts w:ascii="Arial" w:hAnsi="Arial" w:cs="Arial"/>
        </w:rPr>
        <w:t xml:space="preserve"> </w:t>
      </w:r>
      <w:r w:rsidR="001A10D4" w:rsidRPr="00686729">
        <w:rPr>
          <w:rFonts w:ascii="Arial" w:hAnsi="Arial" w:cs="Arial"/>
        </w:rPr>
        <w:t>(DPIG)</w:t>
      </w:r>
      <w:r w:rsidR="001A10D4">
        <w:rPr>
          <w:rFonts w:ascii="Arial" w:hAnsi="Arial" w:cs="Arial"/>
        </w:rPr>
        <w:t xml:space="preserve">, al igual que la Consulta (C), ambas </w:t>
      </w:r>
      <w:r>
        <w:rPr>
          <w:rFonts w:ascii="Arial" w:hAnsi="Arial" w:cs="Arial"/>
        </w:rPr>
        <w:t>c</w:t>
      </w:r>
      <w:r w:rsidRPr="00686729">
        <w:rPr>
          <w:rFonts w:ascii="Arial" w:hAnsi="Arial" w:cs="Arial"/>
        </w:rPr>
        <w:t xml:space="preserve">on una participación de </w:t>
      </w:r>
      <w:r w:rsidR="001A10D4" w:rsidRPr="001A10D4">
        <w:rPr>
          <w:rFonts w:ascii="Arial" w:hAnsi="Arial" w:cs="Arial"/>
        </w:rPr>
        <w:t>1,7</w:t>
      </w:r>
      <w:r w:rsidR="001A10D4">
        <w:rPr>
          <w:rFonts w:ascii="Arial" w:hAnsi="Arial" w:cs="Arial"/>
        </w:rPr>
        <w:t>7</w:t>
      </w:r>
      <w:r w:rsidRPr="00686729">
        <w:rPr>
          <w:rFonts w:ascii="Arial" w:hAnsi="Arial" w:cs="Arial"/>
        </w:rPr>
        <w:t>% (</w:t>
      </w:r>
      <w:r w:rsidR="001A10D4">
        <w:rPr>
          <w:rFonts w:ascii="Arial" w:hAnsi="Arial" w:cs="Arial"/>
        </w:rPr>
        <w:t>5</w:t>
      </w:r>
      <w:r w:rsidRPr="00686729">
        <w:rPr>
          <w:rFonts w:ascii="Arial" w:hAnsi="Arial" w:cs="Arial"/>
        </w:rPr>
        <w:t>).</w:t>
      </w:r>
    </w:p>
    <w:p w14:paraId="03DC40C1" w14:textId="77777777" w:rsidR="00894029" w:rsidRDefault="00894029" w:rsidP="00986D26">
      <w:pPr>
        <w:spacing w:after="0" w:line="240" w:lineRule="auto"/>
        <w:jc w:val="both"/>
        <w:rPr>
          <w:rFonts w:ascii="Arial" w:hAnsi="Arial" w:cs="Arial"/>
        </w:rPr>
      </w:pPr>
    </w:p>
    <w:p w14:paraId="2EF6E7AA" w14:textId="500C8426" w:rsidR="00A837C4" w:rsidRPr="00686729" w:rsidRDefault="00A837C4" w:rsidP="00A837C4">
      <w:pPr>
        <w:spacing w:after="0" w:line="240" w:lineRule="auto"/>
        <w:jc w:val="both"/>
        <w:rPr>
          <w:rFonts w:ascii="Arial" w:hAnsi="Arial" w:cs="Arial"/>
        </w:rPr>
      </w:pPr>
      <w:r w:rsidRPr="00686729">
        <w:rPr>
          <w:rFonts w:ascii="Arial" w:hAnsi="Arial" w:cs="Arial"/>
        </w:rPr>
        <w:t xml:space="preserve">En lo transcurrido del año 2018, de enero a </w:t>
      </w:r>
      <w:r w:rsidR="00DE4464">
        <w:rPr>
          <w:rFonts w:ascii="Arial" w:hAnsi="Arial" w:cs="Arial"/>
        </w:rPr>
        <w:t>agosto</w:t>
      </w:r>
      <w:r w:rsidRPr="00686729">
        <w:rPr>
          <w:rFonts w:ascii="Arial" w:hAnsi="Arial" w:cs="Arial"/>
        </w:rPr>
        <w:t>, la tipología DPIP, posee un promedio acumulado de 8</w:t>
      </w:r>
      <w:r w:rsidR="004F1FDE">
        <w:rPr>
          <w:rFonts w:ascii="Arial" w:hAnsi="Arial" w:cs="Arial"/>
        </w:rPr>
        <w:t>9</w:t>
      </w:r>
      <w:r w:rsidRPr="00686729">
        <w:rPr>
          <w:rFonts w:ascii="Arial" w:hAnsi="Arial" w:cs="Arial"/>
        </w:rPr>
        <w:t>,</w:t>
      </w:r>
      <w:r w:rsidR="004F1FDE">
        <w:rPr>
          <w:rFonts w:ascii="Arial" w:hAnsi="Arial" w:cs="Arial"/>
        </w:rPr>
        <w:t>13</w:t>
      </w:r>
      <w:r w:rsidRPr="00686729">
        <w:rPr>
          <w:rFonts w:ascii="Arial" w:hAnsi="Arial" w:cs="Arial"/>
        </w:rPr>
        <w:t>% de aceptación y usabilidad por parte de la ciudadanía.</w:t>
      </w:r>
    </w:p>
    <w:p w14:paraId="22E80655" w14:textId="77777777" w:rsidR="00686729" w:rsidRPr="00686729" w:rsidRDefault="00686729" w:rsidP="00986D26">
      <w:pPr>
        <w:spacing w:after="0" w:line="240" w:lineRule="auto"/>
        <w:jc w:val="both"/>
        <w:rPr>
          <w:rFonts w:ascii="Arial" w:hAnsi="Arial" w:cs="Arial"/>
        </w:rPr>
      </w:pPr>
    </w:p>
    <w:p w14:paraId="2F6A1ADB" w14:textId="4980ADAA" w:rsidR="0010389A" w:rsidRPr="007E2536" w:rsidRDefault="00780CD8" w:rsidP="00986D26">
      <w:pPr>
        <w:pStyle w:val="Prrafodelista"/>
        <w:spacing w:after="0" w:line="240" w:lineRule="auto"/>
        <w:ind w:left="0"/>
        <w:rPr>
          <w:rFonts w:ascii="Arial" w:hAnsi="Arial" w:cs="Arial"/>
          <w:color w:val="000000" w:themeColor="text1"/>
        </w:rPr>
      </w:pPr>
      <w:r>
        <w:rPr>
          <w:noProof/>
          <w:lang w:eastAsia="es-CO"/>
        </w:rPr>
        <w:lastRenderedPageBreak/>
        <w:drawing>
          <wp:inline distT="0" distB="0" distL="0" distR="0" wp14:anchorId="68932866" wp14:editId="183EFF93">
            <wp:extent cx="5953125" cy="3009900"/>
            <wp:effectExtent l="0" t="0" r="9525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7D45C5" w14:textId="2E698F20" w:rsidR="00A84DF9" w:rsidRPr="007E2536" w:rsidRDefault="00B40A6A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3. </w:t>
      </w:r>
      <w:r w:rsidR="00521843" w:rsidRPr="007E2536">
        <w:rPr>
          <w:rFonts w:ascii="Arial" w:hAnsi="Arial" w:cs="Arial"/>
          <w:color w:val="000000" w:themeColor="text1"/>
          <w:sz w:val="18"/>
          <w:szCs w:val="18"/>
        </w:rPr>
        <w:t>PQRSD por tipología</w:t>
      </w:r>
    </w:p>
    <w:p w14:paraId="1F53269B" w14:textId="4AC667C5" w:rsidR="00521843" w:rsidRPr="007E2536" w:rsidRDefault="0052184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>Fuente: SDQS</w:t>
      </w:r>
      <w:r w:rsidR="00780CD8">
        <w:rPr>
          <w:rFonts w:ascii="Arial" w:hAnsi="Arial" w:cs="Arial"/>
          <w:color w:val="000000" w:themeColor="text1"/>
          <w:sz w:val="18"/>
          <w:szCs w:val="18"/>
        </w:rPr>
        <w:t xml:space="preserve"> - Servicio al Ciudadano</w:t>
      </w:r>
    </w:p>
    <w:p w14:paraId="0DDCF8EB" w14:textId="77777777" w:rsidR="00B65688" w:rsidRPr="004B410B" w:rsidRDefault="00B65688" w:rsidP="004B41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396AAB" w14:textId="41A99355" w:rsidR="00780CD8" w:rsidRDefault="00780CD8" w:rsidP="004B41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4B410B">
        <w:rPr>
          <w:rFonts w:ascii="Arial" w:hAnsi="Arial" w:cs="Arial"/>
          <w:color w:val="000000" w:themeColor="text1"/>
        </w:rPr>
        <w:t xml:space="preserve">En cumplimiento de la Ley 1712 de 2014 y el Decreto 103 de 2015 las siguientes son las solicitudes de </w:t>
      </w:r>
      <w:r w:rsidR="00631927">
        <w:rPr>
          <w:rFonts w:ascii="Arial" w:hAnsi="Arial" w:cs="Arial"/>
          <w:color w:val="000000" w:themeColor="text1"/>
        </w:rPr>
        <w:t xml:space="preserve">acceso a la </w:t>
      </w:r>
      <w:r w:rsidRPr="004B410B">
        <w:rPr>
          <w:rFonts w:ascii="Arial" w:hAnsi="Arial" w:cs="Arial"/>
          <w:color w:val="000000" w:themeColor="text1"/>
        </w:rPr>
        <w:t xml:space="preserve">información </w:t>
      </w:r>
      <w:r w:rsidR="00631927">
        <w:rPr>
          <w:rFonts w:ascii="Arial" w:hAnsi="Arial" w:cs="Arial"/>
          <w:color w:val="000000" w:themeColor="text1"/>
        </w:rPr>
        <w:t xml:space="preserve">pública </w:t>
      </w:r>
      <w:r w:rsidRPr="004B410B">
        <w:rPr>
          <w:rFonts w:ascii="Arial" w:hAnsi="Arial" w:cs="Arial"/>
          <w:color w:val="000000" w:themeColor="text1"/>
        </w:rPr>
        <w:t xml:space="preserve">recibidas por la Entidad: </w:t>
      </w:r>
    </w:p>
    <w:p w14:paraId="2720EF47" w14:textId="77777777" w:rsidR="004B410B" w:rsidRPr="004B410B" w:rsidRDefault="004B410B" w:rsidP="004B410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ABDDB98" w14:textId="62D2B582" w:rsidR="00780CD8" w:rsidRPr="004B410B" w:rsidRDefault="00780CD8" w:rsidP="004B41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B410B">
        <w:rPr>
          <w:rFonts w:ascii="Arial" w:eastAsia="Times New Roman" w:hAnsi="Arial" w:cs="Arial"/>
          <w:color w:val="000000"/>
          <w:lang w:eastAsia="es-CO"/>
        </w:rPr>
        <w:t>Número de solicitudes de información recibidas</w:t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AB57AB" w:rsidRPr="004B410B">
        <w:rPr>
          <w:rFonts w:ascii="Arial" w:eastAsia="Times New Roman" w:hAnsi="Arial" w:cs="Arial"/>
          <w:color w:val="000000"/>
          <w:lang w:eastAsia="es-CO"/>
        </w:rPr>
        <w:t>3</w:t>
      </w:r>
    </w:p>
    <w:p w14:paraId="009E15E9" w14:textId="605C9BF8" w:rsidR="00780CD8" w:rsidRPr="004B410B" w:rsidRDefault="00780CD8" w:rsidP="004B41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B410B">
        <w:rPr>
          <w:rFonts w:ascii="Arial" w:eastAsia="Times New Roman" w:hAnsi="Arial" w:cs="Arial"/>
          <w:color w:val="000000"/>
          <w:lang w:eastAsia="es-CO"/>
        </w:rPr>
        <w:t>Número de solicitudes trasladadas a otra institució</w:t>
      </w:r>
      <w:r w:rsidR="00631927">
        <w:rPr>
          <w:rFonts w:ascii="Arial" w:eastAsia="Times New Roman" w:hAnsi="Arial" w:cs="Arial"/>
          <w:color w:val="000000"/>
          <w:lang w:eastAsia="es-CO"/>
        </w:rPr>
        <w:t>n</w:t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Pr="004B410B">
        <w:rPr>
          <w:rFonts w:ascii="Arial" w:eastAsia="Times New Roman" w:hAnsi="Arial" w:cs="Arial"/>
          <w:color w:val="000000"/>
          <w:lang w:eastAsia="es-CO"/>
        </w:rPr>
        <w:t>0</w:t>
      </w:r>
    </w:p>
    <w:p w14:paraId="4BBB4E41" w14:textId="38223291" w:rsidR="00780CD8" w:rsidRPr="004B410B" w:rsidRDefault="00780CD8" w:rsidP="004B410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4B410B">
        <w:rPr>
          <w:rFonts w:ascii="Arial" w:eastAsia="Times New Roman" w:hAnsi="Arial" w:cs="Arial"/>
          <w:color w:val="000000"/>
          <w:lang w:eastAsia="es-CO"/>
        </w:rPr>
        <w:t>Se negó la información</w:t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="00631927">
        <w:rPr>
          <w:rFonts w:ascii="Arial" w:eastAsia="Times New Roman" w:hAnsi="Arial" w:cs="Arial"/>
          <w:color w:val="000000"/>
          <w:lang w:eastAsia="es-CO"/>
        </w:rPr>
        <w:tab/>
      </w:r>
      <w:r w:rsidRPr="004B410B">
        <w:rPr>
          <w:rFonts w:ascii="Arial" w:eastAsia="Times New Roman" w:hAnsi="Arial" w:cs="Arial"/>
          <w:color w:val="000000"/>
          <w:lang w:eastAsia="es-CO"/>
        </w:rPr>
        <w:t>0</w:t>
      </w:r>
    </w:p>
    <w:p w14:paraId="24F168C7" w14:textId="4573C838" w:rsidR="004368FD" w:rsidRPr="004B410B" w:rsidRDefault="004368FD" w:rsidP="004B410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05D4F34D" w14:textId="77777777" w:rsidR="00E34868" w:rsidRPr="007E2536" w:rsidRDefault="00E34868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1ACF94D7" w14:textId="2894B2D5" w:rsidR="00A84DF9" w:rsidRPr="007E2536" w:rsidRDefault="00091AA9" w:rsidP="00986D26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b/>
          <w:color w:val="000000"/>
          <w:lang w:eastAsia="es-CO"/>
        </w:rPr>
      </w:pPr>
      <w:r w:rsidRPr="007E2536">
        <w:rPr>
          <w:rFonts w:ascii="Arial" w:eastAsia="Times New Roman" w:hAnsi="Arial" w:cs="Arial"/>
          <w:b/>
          <w:color w:val="000000"/>
          <w:lang w:eastAsia="es-CO"/>
        </w:rPr>
        <w:t>SUB</w:t>
      </w:r>
      <w:r w:rsidR="0009748E" w:rsidRPr="007E2536">
        <w:rPr>
          <w:rFonts w:ascii="Arial" w:eastAsia="Times New Roman" w:hAnsi="Arial" w:cs="Arial"/>
          <w:b/>
          <w:color w:val="000000"/>
          <w:lang w:eastAsia="es-CO"/>
        </w:rPr>
        <w:t>T</w:t>
      </w:r>
      <w:r w:rsidR="00AB4634" w:rsidRPr="007E2536">
        <w:rPr>
          <w:rFonts w:ascii="Arial" w:eastAsia="Times New Roman" w:hAnsi="Arial" w:cs="Arial"/>
          <w:b/>
          <w:color w:val="000000"/>
          <w:lang w:eastAsia="es-CO"/>
        </w:rPr>
        <w:t xml:space="preserve">EMAS MÁS REITERADOS </w:t>
      </w:r>
    </w:p>
    <w:p w14:paraId="39D0890B" w14:textId="77777777" w:rsidR="007F5315" w:rsidRDefault="007F5315" w:rsidP="007F531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18EC54E5" w14:textId="468BA905" w:rsidR="00FA6190" w:rsidRPr="00195264" w:rsidRDefault="00FA6190" w:rsidP="00FA6190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195264">
        <w:rPr>
          <w:rFonts w:ascii="Arial" w:eastAsia="Times New Roman" w:hAnsi="Arial" w:cs="Arial"/>
          <w:color w:val="000000"/>
          <w:lang w:eastAsia="es-CO"/>
        </w:rPr>
        <w:t xml:space="preserve">Para este periodo, al igual que el anterior, lo más sobresaliente fueron tres (3) subtemas solicitados: </w:t>
      </w:r>
      <w:r w:rsidRPr="00195264">
        <w:rPr>
          <w:rFonts w:ascii="Arial" w:hAnsi="Arial" w:cs="Arial"/>
          <w:color w:val="000000"/>
        </w:rPr>
        <w:t xml:space="preserve">Titulación Predial en Estratos 1 y 2 </w:t>
      </w:r>
      <w:r w:rsidRPr="00195264">
        <w:rPr>
          <w:rFonts w:ascii="Arial" w:eastAsia="Times New Roman" w:hAnsi="Arial" w:cs="Arial"/>
          <w:color w:val="000000"/>
          <w:lang w:eastAsia="es-CO"/>
        </w:rPr>
        <w:t xml:space="preserve">siendo el más relevante con una participación del </w:t>
      </w:r>
      <w:r w:rsidR="000F094D" w:rsidRPr="00195264">
        <w:rPr>
          <w:rFonts w:ascii="Arial" w:eastAsia="Times New Roman" w:hAnsi="Arial" w:cs="Arial"/>
          <w:color w:val="000000"/>
          <w:lang w:eastAsia="es-CO"/>
        </w:rPr>
        <w:t>7,07% (20)</w:t>
      </w:r>
      <w:r w:rsidR="001B1BEE" w:rsidRPr="00195264">
        <w:rPr>
          <w:rFonts w:ascii="Arial" w:eastAsia="Times New Roman" w:hAnsi="Arial" w:cs="Arial"/>
          <w:color w:val="000000"/>
          <w:lang w:eastAsia="es-CO"/>
        </w:rPr>
        <w:t xml:space="preserve"> y el </w:t>
      </w:r>
      <w:r w:rsidRPr="00195264">
        <w:rPr>
          <w:rFonts w:ascii="Arial" w:hAnsi="Arial" w:cs="Arial"/>
          <w:color w:val="000000"/>
        </w:rPr>
        <w:t>Programa de Reasentamientos Humanos</w:t>
      </w:r>
      <w:r w:rsidRPr="00195264">
        <w:rPr>
          <w:rFonts w:ascii="Arial" w:eastAsia="Times New Roman" w:hAnsi="Arial" w:cs="Arial"/>
          <w:color w:val="000000"/>
          <w:lang w:eastAsia="es-CO"/>
        </w:rPr>
        <w:t xml:space="preserve">, </w:t>
      </w:r>
      <w:r w:rsidR="001B1BEE" w:rsidRPr="00195264">
        <w:rPr>
          <w:rFonts w:ascii="Arial" w:eastAsia="Times New Roman" w:hAnsi="Arial" w:cs="Arial"/>
          <w:color w:val="000000"/>
          <w:lang w:eastAsia="es-CO"/>
        </w:rPr>
        <w:t xml:space="preserve">al igual que el </w:t>
      </w:r>
      <w:r w:rsidR="00052FF9" w:rsidRPr="00195264">
        <w:rPr>
          <w:rFonts w:ascii="Arial" w:hAnsi="Arial" w:cs="Arial"/>
          <w:color w:val="000000"/>
        </w:rPr>
        <w:t>Subsidio para Mejoramiento de Vivienda</w:t>
      </w:r>
      <w:r w:rsidR="00052FF9" w:rsidRPr="00195264">
        <w:rPr>
          <w:rFonts w:ascii="Arial" w:eastAsia="Times New Roman" w:hAnsi="Arial" w:cs="Arial"/>
          <w:color w:val="000000"/>
          <w:lang w:eastAsia="es-CO"/>
        </w:rPr>
        <w:t xml:space="preserve"> </w:t>
      </w:r>
      <w:r w:rsidRPr="00195264">
        <w:rPr>
          <w:rFonts w:ascii="Arial" w:eastAsia="Times New Roman" w:hAnsi="Arial" w:cs="Arial"/>
          <w:color w:val="000000"/>
          <w:lang w:eastAsia="es-CO"/>
        </w:rPr>
        <w:t xml:space="preserve">con el </w:t>
      </w:r>
      <w:r w:rsidR="00052FF9" w:rsidRPr="00195264">
        <w:rPr>
          <w:rFonts w:ascii="Arial" w:eastAsia="Times New Roman" w:hAnsi="Arial" w:cs="Arial"/>
          <w:color w:val="000000"/>
          <w:lang w:eastAsia="es-CO"/>
        </w:rPr>
        <w:t>3,89</w:t>
      </w:r>
      <w:r w:rsidRPr="00195264">
        <w:rPr>
          <w:rFonts w:ascii="Arial" w:eastAsia="Times New Roman" w:hAnsi="Arial" w:cs="Arial"/>
          <w:color w:val="000000"/>
          <w:lang w:eastAsia="es-CO"/>
        </w:rPr>
        <w:t>%</w:t>
      </w:r>
      <w:r w:rsidR="00052FF9" w:rsidRPr="00195264">
        <w:rPr>
          <w:rFonts w:ascii="Arial" w:eastAsia="Times New Roman" w:hAnsi="Arial" w:cs="Arial"/>
          <w:color w:val="000000"/>
          <w:lang w:eastAsia="es-CO"/>
        </w:rPr>
        <w:t xml:space="preserve"> cada uno.</w:t>
      </w:r>
      <w:r w:rsidRPr="00195264">
        <w:rPr>
          <w:rFonts w:ascii="Arial" w:eastAsia="Times New Roman" w:hAnsi="Arial" w:cs="Arial"/>
          <w:color w:val="000000"/>
          <w:lang w:eastAsia="es-CO"/>
        </w:rPr>
        <w:t xml:space="preserve">  </w:t>
      </w:r>
    </w:p>
    <w:p w14:paraId="3D81836C" w14:textId="77777777" w:rsidR="00FA6190" w:rsidRPr="00195264" w:rsidRDefault="00FA6190" w:rsidP="00FA619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tbl>
      <w:tblPr>
        <w:tblStyle w:val="Tablade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5100"/>
        <w:gridCol w:w="2340"/>
        <w:gridCol w:w="1916"/>
      </w:tblGrid>
      <w:tr w:rsidR="00930DD0" w:rsidRPr="00D471FF" w14:paraId="71B34AB6" w14:textId="77777777" w:rsidTr="00662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tcBorders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6FD938E" w14:textId="34F47144" w:rsidR="00930DD0" w:rsidRPr="00D471FF" w:rsidRDefault="003C739C" w:rsidP="005767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SUBTEMA</w:t>
            </w:r>
          </w:p>
        </w:tc>
        <w:tc>
          <w:tcPr>
            <w:tcW w:w="2340" w:type="dxa"/>
            <w:tcBorders>
              <w:left w:val="single" w:sz="4" w:space="0" w:color="8DB3E2" w:themeColor="text2" w:themeTint="66"/>
              <w:right w:val="single" w:sz="4" w:space="0" w:color="8DB3E2" w:themeColor="text2" w:themeTint="66"/>
            </w:tcBorders>
            <w:noWrap/>
            <w:vAlign w:val="center"/>
            <w:hideMark/>
          </w:tcPr>
          <w:p w14:paraId="7912ADD0" w14:textId="3592E0FC" w:rsidR="00930DD0" w:rsidRPr="00D471FF" w:rsidRDefault="003C739C" w:rsidP="005767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916" w:type="dxa"/>
            <w:tcBorders>
              <w:left w:val="single" w:sz="4" w:space="0" w:color="8DB3E2" w:themeColor="text2" w:themeTint="66"/>
            </w:tcBorders>
            <w:noWrap/>
            <w:vAlign w:val="center"/>
            <w:hideMark/>
          </w:tcPr>
          <w:p w14:paraId="5CA2EEE2" w14:textId="1C203770" w:rsidR="00930DD0" w:rsidRPr="00D471FF" w:rsidRDefault="003C739C" w:rsidP="005767C9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930DD0" w:rsidRPr="00D471FF" w14:paraId="2788A8EE" w14:textId="77777777" w:rsidTr="00662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06461691" w14:textId="04DB2C51" w:rsidR="00930DD0" w:rsidRPr="00D471FF" w:rsidRDefault="00930DD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(en blanco)</w:t>
            </w:r>
          </w:p>
        </w:tc>
        <w:tc>
          <w:tcPr>
            <w:tcW w:w="2340" w:type="dxa"/>
            <w:noWrap/>
            <w:vAlign w:val="center"/>
          </w:tcPr>
          <w:p w14:paraId="49DC6243" w14:textId="48F789D1" w:rsidR="00930DD0" w:rsidRPr="00D471FF" w:rsidRDefault="00780CD8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224</w:t>
            </w:r>
          </w:p>
        </w:tc>
        <w:tc>
          <w:tcPr>
            <w:tcW w:w="1916" w:type="dxa"/>
            <w:noWrap/>
            <w:vAlign w:val="center"/>
          </w:tcPr>
          <w:p w14:paraId="26B276EA" w14:textId="14FECF39" w:rsidR="00930DD0" w:rsidRPr="00D471FF" w:rsidRDefault="00780CD8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79,</w:t>
            </w:r>
            <w:r w:rsidR="00436B3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</w:tr>
      <w:tr w:rsidR="00930DD0" w:rsidRPr="00D471FF" w14:paraId="47C933D1" w14:textId="77777777" w:rsidTr="006628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40C57599" w14:textId="6FDD3714" w:rsidR="00930DD0" w:rsidRPr="00D471FF" w:rsidRDefault="005767C9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Titulación predial en estratos 1 y 2</w:t>
            </w:r>
          </w:p>
        </w:tc>
        <w:tc>
          <w:tcPr>
            <w:tcW w:w="2340" w:type="dxa"/>
            <w:noWrap/>
            <w:vAlign w:val="center"/>
          </w:tcPr>
          <w:p w14:paraId="723D3ED4" w14:textId="078AC9B8" w:rsidR="00930DD0" w:rsidRPr="00D471FF" w:rsidRDefault="00780CD8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1916" w:type="dxa"/>
            <w:noWrap/>
            <w:vAlign w:val="center"/>
          </w:tcPr>
          <w:p w14:paraId="32A03976" w14:textId="22AB48F1" w:rsidR="00930DD0" w:rsidRPr="00D471FF" w:rsidRDefault="00780CD8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7,</w:t>
            </w:r>
            <w:r w:rsidR="00774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07</w:t>
            </w:r>
          </w:p>
        </w:tc>
      </w:tr>
      <w:tr w:rsidR="00930DD0" w:rsidRPr="00D471FF" w14:paraId="51A475C2" w14:textId="77777777" w:rsidTr="00662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0CD5AB80" w14:textId="65CA0222" w:rsidR="00930DD0" w:rsidRPr="00D471FF" w:rsidRDefault="00780CD8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Subsidio para Mejoramiento de Vivienda</w:t>
            </w:r>
          </w:p>
        </w:tc>
        <w:tc>
          <w:tcPr>
            <w:tcW w:w="2340" w:type="dxa"/>
            <w:noWrap/>
            <w:vAlign w:val="center"/>
          </w:tcPr>
          <w:p w14:paraId="7C21076B" w14:textId="2CD34956" w:rsidR="00930DD0" w:rsidRPr="00D471FF" w:rsidRDefault="00780CD8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916" w:type="dxa"/>
            <w:noWrap/>
            <w:vAlign w:val="center"/>
          </w:tcPr>
          <w:p w14:paraId="1A267D5F" w14:textId="6F197ADE" w:rsidR="00930DD0" w:rsidRPr="00D471FF" w:rsidRDefault="005F3F79" w:rsidP="00780CD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</w:t>
            </w:r>
            <w:r w:rsidR="00774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89</w:t>
            </w:r>
          </w:p>
        </w:tc>
      </w:tr>
      <w:tr w:rsidR="00930DD0" w:rsidRPr="00D471FF" w14:paraId="2EB1CDF2" w14:textId="77777777" w:rsidTr="006628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2D4681EC" w14:textId="05B1B0DB" w:rsidR="00930DD0" w:rsidRPr="00D471FF" w:rsidRDefault="00780CD8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Programa de Reasentamientos Humanos</w:t>
            </w:r>
          </w:p>
        </w:tc>
        <w:tc>
          <w:tcPr>
            <w:tcW w:w="2340" w:type="dxa"/>
            <w:noWrap/>
            <w:vAlign w:val="center"/>
          </w:tcPr>
          <w:p w14:paraId="04F30A89" w14:textId="154DFEC8" w:rsidR="00930DD0" w:rsidRPr="00D471FF" w:rsidRDefault="003219DC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1916" w:type="dxa"/>
            <w:noWrap/>
            <w:vAlign w:val="center"/>
          </w:tcPr>
          <w:p w14:paraId="7AE7EE67" w14:textId="3ED3017E" w:rsidR="00930DD0" w:rsidRPr="00D471FF" w:rsidRDefault="003219DC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  <w:r w:rsidR="005F3F79"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774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89</w:t>
            </w:r>
          </w:p>
        </w:tc>
      </w:tr>
      <w:tr w:rsidR="00930DD0" w:rsidRPr="00D471FF" w14:paraId="131BF5DA" w14:textId="77777777" w:rsidTr="00662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76367F5F" w14:textId="60FFFDA1" w:rsidR="00930DD0" w:rsidRPr="00D471FF" w:rsidRDefault="005767C9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lastRenderedPageBreak/>
              <w:t>Atención y servicio a la ciudadanía</w:t>
            </w:r>
          </w:p>
        </w:tc>
        <w:tc>
          <w:tcPr>
            <w:tcW w:w="2340" w:type="dxa"/>
            <w:noWrap/>
            <w:vAlign w:val="center"/>
          </w:tcPr>
          <w:p w14:paraId="23C16423" w14:textId="566BC0AF" w:rsidR="00930DD0" w:rsidRPr="00D471FF" w:rsidRDefault="003219DC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1916" w:type="dxa"/>
            <w:noWrap/>
            <w:vAlign w:val="center"/>
          </w:tcPr>
          <w:p w14:paraId="4D2B59AC" w14:textId="2B2C300A" w:rsidR="00930DD0" w:rsidRPr="00D471FF" w:rsidRDefault="007746A0" w:rsidP="003219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7746A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3,18</w:t>
            </w:r>
          </w:p>
        </w:tc>
      </w:tr>
      <w:tr w:rsidR="00930DD0" w:rsidRPr="00D471FF" w14:paraId="4421E00B" w14:textId="77777777" w:rsidTr="006628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32B361EC" w14:textId="10829CFE" w:rsidR="00930DD0" w:rsidRPr="00D471FF" w:rsidRDefault="00930DD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Total 5 subtemas</w:t>
            </w:r>
          </w:p>
        </w:tc>
        <w:tc>
          <w:tcPr>
            <w:tcW w:w="2340" w:type="dxa"/>
            <w:noWrap/>
            <w:vAlign w:val="center"/>
          </w:tcPr>
          <w:p w14:paraId="26C05747" w14:textId="66EE8EC3" w:rsidR="00930DD0" w:rsidRPr="00D471FF" w:rsidRDefault="005F3F79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  <w:r w:rsidR="0032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73</w:t>
            </w:r>
          </w:p>
        </w:tc>
        <w:tc>
          <w:tcPr>
            <w:tcW w:w="1916" w:type="dxa"/>
            <w:noWrap/>
            <w:vAlign w:val="center"/>
          </w:tcPr>
          <w:p w14:paraId="3BE10FA4" w14:textId="1F182C8C" w:rsidR="00930DD0" w:rsidRPr="00D471FF" w:rsidRDefault="005F3F79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</w:t>
            </w:r>
            <w:r w:rsidR="003219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</w:t>
            </w:r>
            <w:r w:rsidRPr="00D471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,</w:t>
            </w:r>
            <w:r w:rsidR="00B823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47</w:t>
            </w:r>
          </w:p>
        </w:tc>
      </w:tr>
      <w:tr w:rsidR="00930DD0" w:rsidRPr="00D471FF" w14:paraId="0B035E36" w14:textId="77777777" w:rsidTr="00662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629CDB30" w14:textId="02CA7133" w:rsidR="00930DD0" w:rsidRPr="00D471FF" w:rsidRDefault="00930DD0" w:rsidP="005767C9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Otros Subtemas</w:t>
            </w:r>
          </w:p>
        </w:tc>
        <w:tc>
          <w:tcPr>
            <w:tcW w:w="2340" w:type="dxa"/>
            <w:noWrap/>
            <w:vAlign w:val="center"/>
          </w:tcPr>
          <w:p w14:paraId="3691AE6F" w14:textId="7EAB2887" w:rsidR="00930DD0" w:rsidRPr="00D471FF" w:rsidRDefault="003219DC" w:rsidP="005767C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916" w:type="dxa"/>
            <w:noWrap/>
            <w:vAlign w:val="center"/>
          </w:tcPr>
          <w:p w14:paraId="0DDDA4AE" w14:textId="6F2CA739" w:rsidR="00930DD0" w:rsidRPr="00D471FF" w:rsidRDefault="00647C73" w:rsidP="003219D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647C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3,53</w:t>
            </w:r>
          </w:p>
        </w:tc>
      </w:tr>
      <w:tr w:rsidR="00930DD0" w:rsidRPr="00D471FF" w14:paraId="721E7CB8" w14:textId="77777777" w:rsidTr="0066287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  <w:hideMark/>
          </w:tcPr>
          <w:p w14:paraId="0F2D17F0" w14:textId="25555484" w:rsidR="00930DD0" w:rsidRPr="00D471FF" w:rsidRDefault="003D4690" w:rsidP="005767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color w:val="000000"/>
                <w:sz w:val="20"/>
                <w:szCs w:val="20"/>
              </w:rPr>
              <w:t>TOTAL GENERAL</w:t>
            </w:r>
          </w:p>
        </w:tc>
        <w:tc>
          <w:tcPr>
            <w:tcW w:w="2340" w:type="dxa"/>
            <w:noWrap/>
            <w:vAlign w:val="center"/>
          </w:tcPr>
          <w:p w14:paraId="4FFBFDDF" w14:textId="3F624644" w:rsidR="00930DD0" w:rsidRPr="00D471FF" w:rsidRDefault="005F3F79" w:rsidP="003219D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28</w:t>
            </w:r>
            <w:r w:rsidR="003219D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916" w:type="dxa"/>
            <w:noWrap/>
            <w:vAlign w:val="center"/>
            <w:hideMark/>
          </w:tcPr>
          <w:p w14:paraId="114729E2" w14:textId="262E5CDB" w:rsidR="00930DD0" w:rsidRPr="00D471FF" w:rsidRDefault="00930DD0" w:rsidP="005767C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color w:val="000000"/>
                <w:sz w:val="20"/>
                <w:szCs w:val="20"/>
              </w:rPr>
              <w:t>100,00</w:t>
            </w:r>
          </w:p>
        </w:tc>
      </w:tr>
    </w:tbl>
    <w:p w14:paraId="5CC08C1B" w14:textId="31F3793F" w:rsidR="0009748E" w:rsidRPr="007E2536" w:rsidRDefault="006E04DD" w:rsidP="0098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1. </w:t>
      </w:r>
      <w:r w:rsidR="00930DD0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PQRSD</w:t>
      </w:r>
      <w:r w:rsidR="000F44CD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interpuestas por </w:t>
      </w:r>
      <w:r w:rsidR="006C7FDF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sub</w:t>
      </w:r>
      <w:r w:rsidR="000F44CD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temas</w:t>
      </w:r>
    </w:p>
    <w:p w14:paraId="31FDFDCF" w14:textId="575C0AA1" w:rsidR="00991FCB" w:rsidRPr="007E2536" w:rsidRDefault="000F44CD" w:rsidP="0098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 w:rsidR="003219DC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3219DC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49E549B" w14:textId="77777777" w:rsidR="00991FCB" w:rsidRPr="0022503E" w:rsidRDefault="00991FCB" w:rsidP="00986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</w:p>
    <w:p w14:paraId="7F50144B" w14:textId="77777777" w:rsidR="00991FCB" w:rsidRPr="0022503E" w:rsidRDefault="00991FCB" w:rsidP="00986D2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16E5744A" w14:textId="42C4AB61" w:rsidR="00A84DF9" w:rsidRPr="0022503E" w:rsidRDefault="009129A2" w:rsidP="00986D26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22503E">
        <w:rPr>
          <w:rFonts w:ascii="Arial" w:hAnsi="Arial" w:cs="Arial"/>
          <w:b/>
          <w:color w:val="000000" w:themeColor="text1"/>
        </w:rPr>
        <w:t xml:space="preserve">NUMERO DE </w:t>
      </w:r>
      <w:r w:rsidR="00A84DF9" w:rsidRPr="0022503E">
        <w:rPr>
          <w:rFonts w:ascii="Arial" w:hAnsi="Arial" w:cs="Arial"/>
          <w:b/>
          <w:color w:val="000000" w:themeColor="text1"/>
        </w:rPr>
        <w:t>P</w:t>
      </w:r>
      <w:r w:rsidR="00B4065E" w:rsidRPr="0022503E">
        <w:rPr>
          <w:rFonts w:ascii="Arial" w:hAnsi="Arial" w:cs="Arial"/>
          <w:b/>
          <w:color w:val="000000" w:themeColor="text1"/>
        </w:rPr>
        <w:t>QRSD</w:t>
      </w:r>
      <w:r w:rsidR="00A84DF9" w:rsidRPr="0022503E">
        <w:rPr>
          <w:rFonts w:ascii="Arial" w:hAnsi="Arial" w:cs="Arial"/>
          <w:b/>
          <w:color w:val="000000" w:themeColor="text1"/>
        </w:rPr>
        <w:t xml:space="preserve"> TRASLADO POR NO COMPETENCIA </w:t>
      </w:r>
    </w:p>
    <w:p w14:paraId="4B3A3EA9" w14:textId="1C7DE326" w:rsidR="00FA7E5E" w:rsidRDefault="00FA7E5E" w:rsidP="00986D2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A5C10D4" w14:textId="625FAA34" w:rsidR="00035131" w:rsidRPr="00C908B0" w:rsidRDefault="00035131" w:rsidP="00035131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C908B0">
        <w:rPr>
          <w:rFonts w:ascii="Arial" w:hAnsi="Arial" w:cs="Arial"/>
          <w:color w:val="000000" w:themeColor="text1"/>
        </w:rPr>
        <w:t xml:space="preserve">Del total de PQRSD recibidas en la entidad </w:t>
      </w:r>
      <w:r w:rsidR="00EA0A4E">
        <w:rPr>
          <w:rFonts w:ascii="Arial" w:hAnsi="Arial" w:cs="Arial"/>
          <w:color w:val="000000" w:themeColor="text1"/>
        </w:rPr>
        <w:t xml:space="preserve">durante el mes de agosto, dos </w:t>
      </w:r>
      <w:r w:rsidRPr="00C908B0">
        <w:rPr>
          <w:rFonts w:ascii="Arial" w:hAnsi="Arial" w:cs="Arial"/>
          <w:color w:val="000000" w:themeColor="text1"/>
        </w:rPr>
        <w:t>(</w:t>
      </w:r>
      <w:r w:rsidR="00EA0A4E">
        <w:rPr>
          <w:rFonts w:ascii="Arial" w:hAnsi="Arial" w:cs="Arial"/>
          <w:color w:val="000000" w:themeColor="text1"/>
        </w:rPr>
        <w:t>2</w:t>
      </w:r>
      <w:r w:rsidRPr="00C908B0">
        <w:rPr>
          <w:rFonts w:ascii="Arial" w:hAnsi="Arial" w:cs="Arial"/>
          <w:color w:val="000000" w:themeColor="text1"/>
        </w:rPr>
        <w:t>) fue</w:t>
      </w:r>
      <w:r w:rsidR="00EA0A4E">
        <w:rPr>
          <w:rFonts w:ascii="Arial" w:hAnsi="Arial" w:cs="Arial"/>
          <w:color w:val="000000" w:themeColor="text1"/>
        </w:rPr>
        <w:t>ron</w:t>
      </w:r>
      <w:r w:rsidRPr="00C908B0">
        <w:rPr>
          <w:rFonts w:ascii="Arial" w:hAnsi="Arial" w:cs="Arial"/>
          <w:color w:val="000000" w:themeColor="text1"/>
        </w:rPr>
        <w:t xml:space="preserve"> trasladada</w:t>
      </w:r>
      <w:r w:rsidR="00EA0A4E">
        <w:rPr>
          <w:rFonts w:ascii="Arial" w:hAnsi="Arial" w:cs="Arial"/>
          <w:color w:val="000000" w:themeColor="text1"/>
        </w:rPr>
        <w:t>s</w:t>
      </w:r>
      <w:r w:rsidRPr="00C908B0">
        <w:rPr>
          <w:rFonts w:ascii="Arial" w:hAnsi="Arial" w:cs="Arial"/>
          <w:color w:val="000000" w:themeColor="text1"/>
        </w:rPr>
        <w:t xml:space="preserve"> por no competencia</w:t>
      </w:r>
      <w:r>
        <w:rPr>
          <w:rFonts w:ascii="Arial" w:hAnsi="Arial" w:cs="Arial"/>
          <w:color w:val="000000" w:themeColor="text1"/>
        </w:rPr>
        <w:t xml:space="preserve">; </w:t>
      </w:r>
      <w:r w:rsidR="00EA0A4E">
        <w:rPr>
          <w:rFonts w:ascii="Arial" w:hAnsi="Arial" w:cs="Arial"/>
          <w:color w:val="000000" w:themeColor="text1"/>
        </w:rPr>
        <w:t xml:space="preserve">ambas </w:t>
      </w:r>
      <w:r>
        <w:rPr>
          <w:rFonts w:ascii="Arial" w:hAnsi="Arial" w:cs="Arial"/>
          <w:color w:val="000000" w:themeColor="text1"/>
        </w:rPr>
        <w:t>siendo remitida</w:t>
      </w:r>
      <w:r w:rsidR="00EA0A4E">
        <w:rPr>
          <w:rFonts w:ascii="Arial" w:hAnsi="Arial" w:cs="Arial"/>
          <w:color w:val="000000" w:themeColor="text1"/>
        </w:rPr>
        <w:t>s</w:t>
      </w:r>
      <w:r>
        <w:rPr>
          <w:rFonts w:ascii="Arial" w:hAnsi="Arial" w:cs="Arial"/>
          <w:color w:val="000000" w:themeColor="text1"/>
        </w:rPr>
        <w:t xml:space="preserve"> </w:t>
      </w:r>
      <w:r w:rsidRPr="00C908B0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la</w:t>
      </w:r>
      <w:r w:rsidRPr="00C908B0">
        <w:rPr>
          <w:rFonts w:ascii="Arial" w:hAnsi="Arial" w:cs="Arial"/>
          <w:color w:val="000000" w:themeColor="text1"/>
        </w:rPr>
        <w:t xml:space="preserve"> </w:t>
      </w:r>
      <w:r w:rsidR="00EA0A4E">
        <w:rPr>
          <w:rFonts w:ascii="Arial" w:hAnsi="Arial" w:cs="Arial"/>
          <w:color w:val="000000" w:themeColor="text1"/>
        </w:rPr>
        <w:t xml:space="preserve">Secretaria Distrital del Hábitat. </w:t>
      </w:r>
    </w:p>
    <w:p w14:paraId="42CB3724" w14:textId="77777777" w:rsidR="00035131" w:rsidRPr="0022503E" w:rsidRDefault="00035131" w:rsidP="00986D26">
      <w:pPr>
        <w:pStyle w:val="Prrafodelista"/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356" w:type="dxa"/>
        <w:tblInd w:w="108" w:type="dxa"/>
        <w:tblLook w:val="04A0" w:firstRow="1" w:lastRow="0" w:firstColumn="1" w:lastColumn="0" w:noHBand="0" w:noVBand="1"/>
      </w:tblPr>
      <w:tblGrid>
        <w:gridCol w:w="5100"/>
        <w:gridCol w:w="2340"/>
        <w:gridCol w:w="1916"/>
      </w:tblGrid>
      <w:tr w:rsidR="003219DC" w:rsidRPr="00D471FF" w14:paraId="17F91C75" w14:textId="77777777" w:rsidTr="00B743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2ED467C5" w14:textId="4E692D43" w:rsidR="003219DC" w:rsidRPr="003219DC" w:rsidRDefault="003219DC" w:rsidP="003219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sz w:val="20"/>
                <w:szCs w:val="20"/>
              </w:rPr>
              <w:t>ENTIDAD</w:t>
            </w:r>
          </w:p>
        </w:tc>
        <w:tc>
          <w:tcPr>
            <w:tcW w:w="2340" w:type="dxa"/>
            <w:noWrap/>
            <w:vAlign w:val="center"/>
          </w:tcPr>
          <w:p w14:paraId="259DCBD5" w14:textId="23A20D05" w:rsidR="003219DC" w:rsidRPr="00D471FF" w:rsidRDefault="003219DC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219D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16" w:type="dxa"/>
            <w:noWrap/>
            <w:vAlign w:val="center"/>
          </w:tcPr>
          <w:p w14:paraId="31A166FF" w14:textId="4906EFB8" w:rsidR="003219DC" w:rsidRPr="003219DC" w:rsidRDefault="003219DC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219DC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%</w:t>
            </w:r>
          </w:p>
        </w:tc>
      </w:tr>
      <w:tr w:rsidR="003219DC" w:rsidRPr="00D471FF" w14:paraId="37428F56" w14:textId="77777777" w:rsidTr="00B743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4AC5637C" w14:textId="68302FBE" w:rsidR="003219DC" w:rsidRPr="00D471FF" w:rsidRDefault="003219DC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Secretaría </w:t>
            </w:r>
            <w:r w:rsidR="000A1AD9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Distrital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del Hábitat </w:t>
            </w:r>
          </w:p>
        </w:tc>
        <w:tc>
          <w:tcPr>
            <w:tcW w:w="2340" w:type="dxa"/>
            <w:noWrap/>
            <w:vAlign w:val="center"/>
          </w:tcPr>
          <w:p w14:paraId="1186619E" w14:textId="509D390E" w:rsidR="003219DC" w:rsidRPr="00D471FF" w:rsidRDefault="003219DC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916" w:type="dxa"/>
            <w:noWrap/>
            <w:vAlign w:val="center"/>
          </w:tcPr>
          <w:p w14:paraId="6B5BAE82" w14:textId="60AE561B" w:rsidR="003219DC" w:rsidRPr="00D471FF" w:rsidRDefault="0044117F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1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  <w:tr w:rsidR="003219DC" w:rsidRPr="00D471FF" w14:paraId="000BA2B0" w14:textId="77777777" w:rsidTr="00B7439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0" w:type="dxa"/>
            <w:noWrap/>
            <w:vAlign w:val="center"/>
          </w:tcPr>
          <w:p w14:paraId="0F81B57B" w14:textId="3AA2C081" w:rsidR="003219DC" w:rsidRPr="00D471FF" w:rsidRDefault="003219DC" w:rsidP="003219DC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D471FF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Total </w:t>
            </w:r>
          </w:p>
        </w:tc>
        <w:tc>
          <w:tcPr>
            <w:tcW w:w="2340" w:type="dxa"/>
            <w:noWrap/>
            <w:vAlign w:val="center"/>
          </w:tcPr>
          <w:p w14:paraId="7E1BDDFC" w14:textId="2A8F0B18" w:rsidR="003219DC" w:rsidRPr="00D471FF" w:rsidRDefault="003219DC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916" w:type="dxa"/>
            <w:noWrap/>
            <w:vAlign w:val="center"/>
          </w:tcPr>
          <w:p w14:paraId="0E20167E" w14:textId="287F7098" w:rsidR="003219DC" w:rsidRPr="00D471FF" w:rsidRDefault="0044117F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44117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</w:tr>
    </w:tbl>
    <w:p w14:paraId="3487EC90" w14:textId="6819DB9C" w:rsidR="005A6D0F" w:rsidRPr="007E2536" w:rsidRDefault="005A6D0F" w:rsidP="005A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CO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Tabla 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>2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. PQRSD interpuestas por subtemas</w:t>
      </w:r>
    </w:p>
    <w:p w14:paraId="514013A1" w14:textId="5D8B1791" w:rsidR="00020B7A" w:rsidRPr="0022503E" w:rsidRDefault="005A6D0F" w:rsidP="005A6D0F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Fuente: 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158BB184" w14:textId="07D1832F" w:rsidR="00E80705" w:rsidRDefault="00E80705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BA25D0C" w14:textId="77777777" w:rsidR="00B51E1A" w:rsidRDefault="00B51E1A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9B4513F" w14:textId="4A328043" w:rsidR="00A84DF9" w:rsidRPr="0022503E" w:rsidRDefault="00C66346" w:rsidP="00986D26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22503E">
        <w:rPr>
          <w:rFonts w:ascii="Arial" w:hAnsi="Arial" w:cs="Arial"/>
          <w:b/>
          <w:color w:val="000000" w:themeColor="text1"/>
        </w:rPr>
        <w:t xml:space="preserve">SUBTEMA </w:t>
      </w:r>
      <w:r w:rsidR="00A84DF9" w:rsidRPr="0022503E">
        <w:rPr>
          <w:rFonts w:ascii="Arial" w:hAnsi="Arial" w:cs="Arial"/>
          <w:b/>
          <w:color w:val="000000" w:themeColor="text1"/>
        </w:rPr>
        <w:t>VEEDURÍAS CIUDADANAS</w:t>
      </w:r>
    </w:p>
    <w:p w14:paraId="0A683CBE" w14:textId="77777777" w:rsidR="00A84DF9" w:rsidRPr="0022503E" w:rsidRDefault="00A84DF9" w:rsidP="00986D26">
      <w:pPr>
        <w:pStyle w:val="Prrafodelista"/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028F7AEA" w14:textId="5771C629" w:rsidR="00173908" w:rsidRPr="0022503E" w:rsidRDefault="00173908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2503E">
        <w:rPr>
          <w:rFonts w:ascii="Arial" w:hAnsi="Arial" w:cs="Arial"/>
          <w:color w:val="000000" w:themeColor="text1"/>
        </w:rPr>
        <w:t xml:space="preserve">En el mes de </w:t>
      </w:r>
      <w:r w:rsidR="003219DC">
        <w:rPr>
          <w:rFonts w:ascii="Arial" w:hAnsi="Arial" w:cs="Arial"/>
          <w:color w:val="000000" w:themeColor="text1"/>
        </w:rPr>
        <w:t>agosto</w:t>
      </w:r>
      <w:r w:rsidRPr="0022503E">
        <w:rPr>
          <w:rFonts w:ascii="Arial" w:hAnsi="Arial" w:cs="Arial"/>
          <w:color w:val="000000" w:themeColor="text1"/>
        </w:rPr>
        <w:t xml:space="preserve"> del 2018 no existieron </w:t>
      </w:r>
      <w:r w:rsidR="0090065B" w:rsidRPr="0022503E">
        <w:rPr>
          <w:rFonts w:ascii="Arial" w:hAnsi="Arial" w:cs="Arial"/>
          <w:color w:val="000000" w:themeColor="text1"/>
        </w:rPr>
        <w:t>sub</w:t>
      </w:r>
      <w:r w:rsidRPr="0022503E">
        <w:rPr>
          <w:rFonts w:ascii="Arial" w:hAnsi="Arial" w:cs="Arial"/>
          <w:color w:val="000000" w:themeColor="text1"/>
        </w:rPr>
        <w:t>tema de Veedurías Ciudadanas para la Caja de la Vivienda Popular.</w:t>
      </w:r>
    </w:p>
    <w:p w14:paraId="00EAB3CB" w14:textId="470031E9" w:rsidR="00991FCB" w:rsidRPr="0022503E" w:rsidRDefault="00991FCB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1083D05" w14:textId="77777777" w:rsidR="0075712D" w:rsidRPr="007E2536" w:rsidRDefault="0075712D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ADB825A" w14:textId="373E09EC" w:rsidR="000A5EA7" w:rsidRPr="0022503E" w:rsidRDefault="000A5EA7" w:rsidP="005349DD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784096">
        <w:rPr>
          <w:rFonts w:ascii="Arial" w:hAnsi="Arial" w:cs="Arial"/>
          <w:b/>
          <w:color w:val="000000" w:themeColor="text1"/>
        </w:rPr>
        <w:t xml:space="preserve">PQRSD CERRADAS PERÍODOS </w:t>
      </w:r>
      <w:r w:rsidR="008C2503">
        <w:rPr>
          <w:rFonts w:ascii="Arial" w:hAnsi="Arial" w:cs="Arial"/>
          <w:b/>
          <w:color w:val="000000" w:themeColor="text1"/>
        </w:rPr>
        <w:t>ACTUAL</w:t>
      </w:r>
      <w:r w:rsidRPr="0022503E">
        <w:rPr>
          <w:rFonts w:ascii="Arial" w:hAnsi="Arial" w:cs="Arial"/>
          <w:b/>
          <w:color w:val="000000" w:themeColor="text1"/>
        </w:rPr>
        <w:t xml:space="preserve"> </w:t>
      </w:r>
    </w:p>
    <w:p w14:paraId="225F0DC2" w14:textId="339FA012" w:rsidR="00B63A48" w:rsidRPr="007E2536" w:rsidRDefault="00B63A48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9DE6AAD" w14:textId="4B94628C" w:rsidR="00A0319E" w:rsidRPr="002113DD" w:rsidRDefault="00A0319E" w:rsidP="00A031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B1320F">
        <w:rPr>
          <w:rFonts w:ascii="Arial" w:hAnsi="Arial" w:cs="Arial"/>
          <w:color w:val="000000" w:themeColor="text1"/>
        </w:rPr>
        <w:t>D</w:t>
      </w:r>
      <w:r>
        <w:rPr>
          <w:rFonts w:ascii="Arial" w:hAnsi="Arial" w:cs="Arial"/>
          <w:color w:val="000000" w:themeColor="text1"/>
        </w:rPr>
        <w:t>e las 28</w:t>
      </w:r>
      <w:r w:rsidR="00F86067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 xml:space="preserve"> (100%) PQRSD recibidas en</w:t>
      </w:r>
      <w:r w:rsidR="00CE49C4">
        <w:rPr>
          <w:rFonts w:ascii="Arial" w:hAnsi="Arial" w:cs="Arial"/>
          <w:color w:val="000000" w:themeColor="text1"/>
        </w:rPr>
        <w:t xml:space="preserve"> agosto</w:t>
      </w:r>
      <w:r>
        <w:rPr>
          <w:rFonts w:ascii="Arial" w:hAnsi="Arial" w:cs="Arial"/>
          <w:color w:val="000000" w:themeColor="text1"/>
        </w:rPr>
        <w:t xml:space="preserve">, el </w:t>
      </w:r>
      <w:r w:rsidR="00514719" w:rsidRPr="00514719">
        <w:rPr>
          <w:rFonts w:ascii="Arial" w:hAnsi="Arial" w:cs="Arial"/>
          <w:color w:val="000000" w:themeColor="text1"/>
        </w:rPr>
        <w:t>33,2</w:t>
      </w:r>
      <w:r w:rsidR="00514719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>% (</w:t>
      </w:r>
      <w:r w:rsidR="00514719">
        <w:rPr>
          <w:rFonts w:ascii="Arial" w:hAnsi="Arial" w:cs="Arial"/>
          <w:color w:val="000000" w:themeColor="text1"/>
        </w:rPr>
        <w:t>94</w:t>
      </w:r>
      <w:r>
        <w:rPr>
          <w:rFonts w:ascii="Arial" w:hAnsi="Arial" w:cs="Arial"/>
          <w:color w:val="000000" w:themeColor="text1"/>
        </w:rPr>
        <w:t xml:space="preserve">) </w:t>
      </w:r>
      <w:r w:rsidRPr="002113DD">
        <w:rPr>
          <w:rFonts w:ascii="Arial" w:hAnsi="Arial" w:cs="Arial"/>
          <w:color w:val="000000" w:themeColor="text1"/>
        </w:rPr>
        <w:t xml:space="preserve">deben responderse antes de finalizar el mismo periodo. De estas últimas, se logró generar y entregar respuestas al </w:t>
      </w:r>
      <w:r w:rsidR="00C7756D" w:rsidRPr="00C7756D">
        <w:rPr>
          <w:rFonts w:ascii="Arial" w:hAnsi="Arial" w:cs="Arial"/>
          <w:color w:val="000000" w:themeColor="text1"/>
        </w:rPr>
        <w:t>93,6</w:t>
      </w:r>
      <w:r w:rsidR="00C7756D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lang w:val="es-ES"/>
        </w:rPr>
        <w:t>%</w:t>
      </w:r>
      <w:r w:rsidRPr="002113DD">
        <w:rPr>
          <w:rFonts w:ascii="Arial" w:hAnsi="Arial" w:cs="Arial"/>
          <w:lang w:val="es-ES"/>
        </w:rPr>
        <w:t xml:space="preserve"> (</w:t>
      </w:r>
      <w:r w:rsidR="00C7756D">
        <w:rPr>
          <w:rFonts w:ascii="Arial" w:hAnsi="Arial" w:cs="Arial"/>
          <w:lang w:val="es-ES"/>
        </w:rPr>
        <w:t>88</w:t>
      </w:r>
      <w:r>
        <w:rPr>
          <w:rFonts w:ascii="Arial" w:hAnsi="Arial" w:cs="Arial"/>
          <w:lang w:val="es-ES"/>
        </w:rPr>
        <w:t>)</w:t>
      </w:r>
      <w:r w:rsidRPr="002113DD">
        <w:rPr>
          <w:rFonts w:ascii="Arial" w:hAnsi="Arial" w:cs="Arial"/>
          <w:color w:val="000000" w:themeColor="text1"/>
        </w:rPr>
        <w:t xml:space="preserve"> de ellas.</w:t>
      </w:r>
    </w:p>
    <w:p w14:paraId="24AF5248" w14:textId="77777777" w:rsidR="00A0319E" w:rsidRDefault="00A0319E" w:rsidP="00A0319E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6A072A66" w14:textId="187CE2F1" w:rsidR="00A0319E" w:rsidRDefault="00A0319E" w:rsidP="00093DD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Ahora bien, en </w:t>
      </w:r>
      <w:r w:rsidR="00C3120C">
        <w:rPr>
          <w:rFonts w:ascii="Arial" w:hAnsi="Arial" w:cs="Arial"/>
          <w:color w:val="000000" w:themeColor="text1"/>
        </w:rPr>
        <w:t xml:space="preserve">agosto </w:t>
      </w:r>
      <w:r>
        <w:rPr>
          <w:rFonts w:ascii="Arial" w:hAnsi="Arial" w:cs="Arial"/>
          <w:color w:val="000000" w:themeColor="text1"/>
        </w:rPr>
        <w:t>se solucionaron y cerraron 3</w:t>
      </w:r>
      <w:r w:rsidR="006E248E">
        <w:rPr>
          <w:rFonts w:ascii="Arial" w:hAnsi="Arial" w:cs="Arial"/>
          <w:color w:val="000000" w:themeColor="text1"/>
        </w:rPr>
        <w:t>1</w:t>
      </w:r>
      <w:r>
        <w:rPr>
          <w:rFonts w:ascii="Arial" w:hAnsi="Arial" w:cs="Arial"/>
          <w:color w:val="000000" w:themeColor="text1"/>
        </w:rPr>
        <w:t xml:space="preserve">0 (100%) PQRSD. De las anteriores, </w:t>
      </w:r>
      <w:r w:rsidR="00A4569F">
        <w:rPr>
          <w:rFonts w:ascii="Arial" w:hAnsi="Arial" w:cs="Arial"/>
          <w:color w:val="000000" w:themeColor="text1"/>
        </w:rPr>
        <w:t>1</w:t>
      </w:r>
      <w:r w:rsidR="00381A95">
        <w:rPr>
          <w:rFonts w:ascii="Arial" w:hAnsi="Arial" w:cs="Arial"/>
          <w:color w:val="000000" w:themeColor="text1"/>
        </w:rPr>
        <w:t>36</w:t>
      </w:r>
      <w:r>
        <w:rPr>
          <w:rFonts w:ascii="Arial" w:hAnsi="Arial" w:cs="Arial"/>
          <w:color w:val="000000" w:themeColor="text1"/>
        </w:rPr>
        <w:t xml:space="preserve"> (</w:t>
      </w:r>
      <w:r w:rsidR="00381A95" w:rsidRPr="00381A95">
        <w:rPr>
          <w:rFonts w:ascii="Arial" w:hAnsi="Arial" w:cs="Arial"/>
          <w:color w:val="000000" w:themeColor="text1"/>
        </w:rPr>
        <w:t>43,87</w:t>
      </w:r>
      <w:r>
        <w:rPr>
          <w:rFonts w:ascii="Arial" w:hAnsi="Arial" w:cs="Arial"/>
          <w:color w:val="000000" w:themeColor="text1"/>
        </w:rPr>
        <w:t xml:space="preserve">%) </w:t>
      </w:r>
      <w:r w:rsidR="00257BAE">
        <w:rPr>
          <w:rFonts w:ascii="Arial" w:hAnsi="Arial" w:cs="Arial"/>
          <w:color w:val="000000" w:themeColor="text1"/>
        </w:rPr>
        <w:t>se solucionaron de manera oportuna, y tan solo 24 (</w:t>
      </w:r>
      <w:r w:rsidR="00257BAE" w:rsidRPr="00257BAE">
        <w:rPr>
          <w:rFonts w:ascii="Arial" w:hAnsi="Arial" w:cs="Arial"/>
          <w:color w:val="000000" w:themeColor="text1"/>
        </w:rPr>
        <w:t>7,74</w:t>
      </w:r>
      <w:r w:rsidR="00257BAE">
        <w:rPr>
          <w:rFonts w:ascii="Arial" w:hAnsi="Arial" w:cs="Arial"/>
          <w:color w:val="000000" w:themeColor="text1"/>
        </w:rPr>
        <w:t>%) se solucionaron por fuer</w:t>
      </w:r>
      <w:r w:rsidR="00846B49">
        <w:rPr>
          <w:rFonts w:ascii="Arial" w:hAnsi="Arial" w:cs="Arial"/>
          <w:color w:val="000000" w:themeColor="text1"/>
        </w:rPr>
        <w:t>a</w:t>
      </w:r>
      <w:r w:rsidR="00257BAE">
        <w:rPr>
          <w:rFonts w:ascii="Arial" w:hAnsi="Arial" w:cs="Arial"/>
          <w:color w:val="000000" w:themeColor="text1"/>
        </w:rPr>
        <w:t xml:space="preserve"> de los tiempos que determina la ley, pero ambas cifran dentro del mismo mes de recepción</w:t>
      </w:r>
      <w:r>
        <w:rPr>
          <w:rFonts w:ascii="Arial" w:hAnsi="Arial" w:cs="Arial"/>
          <w:color w:val="000000" w:themeColor="text1"/>
        </w:rPr>
        <w:t>.</w:t>
      </w:r>
      <w:r w:rsidR="008A274A">
        <w:rPr>
          <w:rFonts w:ascii="Arial" w:hAnsi="Arial" w:cs="Arial"/>
          <w:color w:val="000000" w:themeColor="text1"/>
        </w:rPr>
        <w:t xml:space="preserve"> Ahora bien, d</w:t>
      </w:r>
      <w:r>
        <w:rPr>
          <w:rFonts w:ascii="Arial" w:hAnsi="Arial" w:cs="Arial"/>
          <w:color w:val="000000" w:themeColor="text1"/>
        </w:rPr>
        <w:t xml:space="preserve">e manera anticipada se solucionaron </w:t>
      </w:r>
      <w:r w:rsidR="00C2456A">
        <w:rPr>
          <w:rFonts w:ascii="Arial" w:hAnsi="Arial" w:cs="Arial"/>
          <w:color w:val="000000" w:themeColor="text1"/>
        </w:rPr>
        <w:t>72</w:t>
      </w:r>
      <w:r>
        <w:rPr>
          <w:rFonts w:ascii="Arial" w:hAnsi="Arial" w:cs="Arial"/>
          <w:color w:val="000000" w:themeColor="text1"/>
        </w:rPr>
        <w:t xml:space="preserve"> (</w:t>
      </w:r>
      <w:r w:rsidR="00C2456A" w:rsidRPr="00C2456A">
        <w:rPr>
          <w:rFonts w:ascii="Arial" w:hAnsi="Arial" w:cs="Arial"/>
          <w:color w:val="000000" w:themeColor="text1"/>
        </w:rPr>
        <w:t>23,2</w:t>
      </w:r>
      <w:r w:rsidR="00C2456A">
        <w:rPr>
          <w:rFonts w:ascii="Arial" w:hAnsi="Arial" w:cs="Arial"/>
          <w:color w:val="000000" w:themeColor="text1"/>
        </w:rPr>
        <w:t>3</w:t>
      </w:r>
      <w:r>
        <w:rPr>
          <w:rFonts w:ascii="Arial" w:hAnsi="Arial" w:cs="Arial"/>
          <w:color w:val="000000" w:themeColor="text1"/>
        </w:rPr>
        <w:t>%) PQRSD, así ellas tuvieran vencimiento en el(los) siguiente(s) mes(es).</w:t>
      </w:r>
    </w:p>
    <w:p w14:paraId="0528E7EC" w14:textId="77777777" w:rsidR="00A0319E" w:rsidRPr="007046E5" w:rsidRDefault="00A0319E" w:rsidP="00093DD9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decuadrcula4-nfasis11"/>
        <w:tblW w:w="9346" w:type="dxa"/>
        <w:tblInd w:w="108" w:type="dxa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583"/>
      </w:tblGrid>
      <w:tr w:rsidR="00CD3B35" w:rsidRPr="004D45C3" w14:paraId="4BE7682F" w14:textId="77777777" w:rsidTr="00CD3B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</w:tcPr>
          <w:p w14:paraId="1CFA5646" w14:textId="337DC6AD" w:rsidR="00CD3B35" w:rsidRPr="004D45C3" w:rsidRDefault="00CD3B35" w:rsidP="00CD3B3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lastRenderedPageBreak/>
              <w:t>DEPENDENCIA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4ACC86E2" w14:textId="7B3BB8F4" w:rsidR="00CD3B35" w:rsidRPr="004D45C3" w:rsidRDefault="00CD3B35" w:rsidP="00CD3B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NUMERO DE PQRSD RECIBIDAS EN EL PERIODO ACTUAL (1)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235F6292" w14:textId="3D336E3D" w:rsidR="00CD3B35" w:rsidRPr="004D45C3" w:rsidRDefault="00CD3B35" w:rsidP="00CD3B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NUMERO DE PQRSD CERRADAS EN EL PERIODO ACTUAL (2)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</w:tcPr>
          <w:p w14:paraId="7918EEE7" w14:textId="77777777" w:rsidR="00CD3B35" w:rsidRPr="00E564EA" w:rsidRDefault="00CD3B35" w:rsidP="00CD3B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PORCENTAJE </w:t>
            </w:r>
          </w:p>
          <w:p w14:paraId="6B6CE704" w14:textId="4C91FE77" w:rsidR="00CD3B35" w:rsidRPr="004D45C3" w:rsidRDefault="00CD3B35" w:rsidP="00CD3B3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((2) / (1)*100)</w:t>
            </w:r>
          </w:p>
        </w:tc>
      </w:tr>
      <w:tr w:rsidR="00CD3B35" w:rsidRPr="004D45C3" w14:paraId="09258B68" w14:textId="77777777" w:rsidTr="00DF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  <w:hideMark/>
          </w:tcPr>
          <w:p w14:paraId="0794A3ED" w14:textId="47FD39D2" w:rsidR="00CD3B35" w:rsidRPr="004D45C3" w:rsidRDefault="00CD3B35" w:rsidP="00CD3B35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Reasentamientos Humanos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C616E32" w14:textId="6E75714D" w:rsidR="00CD3B35" w:rsidRPr="004D45C3" w:rsidRDefault="009531C7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0CD6FB8" w14:textId="7B3FC20A" w:rsidR="00CD3B35" w:rsidRPr="004D45C3" w:rsidRDefault="0023713A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60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443D3EB" w14:textId="02D44E1B" w:rsidR="00CD3B35" w:rsidRPr="004D45C3" w:rsidRDefault="00272CC7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66,67</w:t>
            </w:r>
            <w:r w:rsidR="00F35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%</w:t>
            </w:r>
          </w:p>
        </w:tc>
      </w:tr>
      <w:tr w:rsidR="00CD3B35" w:rsidRPr="004D45C3" w14:paraId="36484F40" w14:textId="77777777" w:rsidTr="00DF0A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A4AF0F6" w14:textId="6E723C17" w:rsidR="00CD3B35" w:rsidRPr="004D45C3" w:rsidRDefault="00CD3B35" w:rsidP="00CD3B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Dirección de 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Urbanizaciones y Titulación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80ACC75" w14:textId="54DA4DFE" w:rsidR="00CD3B35" w:rsidRPr="004D45C3" w:rsidRDefault="009531C7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92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1527C18" w14:textId="2BE4D4DF" w:rsidR="00CD3B35" w:rsidRPr="004D45C3" w:rsidRDefault="0023713A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40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46F8B85" w14:textId="5C499657" w:rsidR="00CD3B35" w:rsidRPr="004D45C3" w:rsidRDefault="00F35E9A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35E9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43,4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8%</w:t>
            </w:r>
          </w:p>
        </w:tc>
      </w:tr>
      <w:tr w:rsidR="00CD3B35" w:rsidRPr="004D45C3" w14:paraId="12B781E0" w14:textId="77777777" w:rsidTr="00DF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38A1A5F8" w14:textId="6586EFD2" w:rsidR="00CD3B35" w:rsidRPr="004D45C3" w:rsidRDefault="00CD3B35" w:rsidP="00CD3B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C68DF5B" w14:textId="0AAFC6D3" w:rsidR="00CD3B35" w:rsidRPr="004D45C3" w:rsidRDefault="00875C37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51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E4D6BBE" w14:textId="67717C59" w:rsidR="00CD3B35" w:rsidRPr="004D45C3" w:rsidRDefault="0023713A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28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B2B2F05" w14:textId="6B02E818" w:rsidR="00CD3B35" w:rsidRPr="004D45C3" w:rsidRDefault="00DF0A25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DF0A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54,9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0%</w:t>
            </w:r>
          </w:p>
        </w:tc>
      </w:tr>
      <w:tr w:rsidR="00CD3B35" w:rsidRPr="004D45C3" w14:paraId="152EE149" w14:textId="77777777" w:rsidTr="00DF0A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6422C4E" w14:textId="6CD8403E" w:rsidR="00CD3B35" w:rsidRPr="00875C37" w:rsidRDefault="00875C37" w:rsidP="00CD3B35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75C3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 Dirección Financiera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3AA8BA6" w14:textId="1C9E6676" w:rsidR="00CD3B35" w:rsidRPr="004D45C3" w:rsidRDefault="00875C37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25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0BC1495" w14:textId="5BC790DF" w:rsidR="00CD3B35" w:rsidRPr="004D45C3" w:rsidRDefault="0023713A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A6E513A" w14:textId="42CFF6E3" w:rsidR="00CD3B35" w:rsidRPr="004D45C3" w:rsidRDefault="005C12A1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84,00%</w:t>
            </w:r>
          </w:p>
        </w:tc>
      </w:tr>
      <w:tr w:rsidR="00875C37" w:rsidRPr="004D45C3" w14:paraId="3D6FA9CA" w14:textId="77777777" w:rsidTr="00DF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DF00863" w14:textId="573CC565" w:rsidR="00875C37" w:rsidRPr="00875C37" w:rsidRDefault="00875C37" w:rsidP="00CD3B35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75C3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Mejoramiento de Barrios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C7EBA46" w14:textId="7BC04D1C" w:rsidR="00875C37" w:rsidRPr="004D45C3" w:rsidRDefault="00875C37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4BCD019" w14:textId="120D9561" w:rsidR="00875C37" w:rsidRPr="004D45C3" w:rsidRDefault="0023713A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A87F932" w14:textId="1369D192" w:rsidR="00875C37" w:rsidRPr="004D45C3" w:rsidRDefault="000E20E8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50,00%</w:t>
            </w:r>
          </w:p>
        </w:tc>
      </w:tr>
      <w:tr w:rsidR="00875C37" w:rsidRPr="004D45C3" w14:paraId="53F7F62C" w14:textId="77777777" w:rsidTr="00DF0A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69A30F0" w14:textId="58F9F0D5" w:rsidR="00875C37" w:rsidRPr="00875C37" w:rsidRDefault="00875C37" w:rsidP="00CD3B35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Jurídica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45416B1" w14:textId="0798FC7D" w:rsidR="00875C37" w:rsidRDefault="00875C37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8F76449" w14:textId="2E285FF7" w:rsidR="00875C37" w:rsidRPr="004D45C3" w:rsidRDefault="0023713A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5CF1225" w14:textId="182C5830" w:rsidR="00875C37" w:rsidRPr="004D45C3" w:rsidRDefault="000E20E8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20,00%</w:t>
            </w:r>
          </w:p>
        </w:tc>
      </w:tr>
      <w:tr w:rsidR="00875C37" w:rsidRPr="004D45C3" w14:paraId="3717CB23" w14:textId="77777777" w:rsidTr="00DF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0CDB73C7" w14:textId="4ECEAA5B" w:rsidR="00875C37" w:rsidRDefault="00875C37" w:rsidP="00CD3B35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Área de Servicio a la Ciudadanía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9F549B2" w14:textId="696A3B13" w:rsidR="00875C37" w:rsidRDefault="00875C37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219188B" w14:textId="4B7FA547" w:rsidR="00875C37" w:rsidRPr="004D45C3" w:rsidRDefault="0023713A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7CF4F09" w14:textId="34C404D7" w:rsidR="00875C37" w:rsidRPr="004D45C3" w:rsidRDefault="001F1EA7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0,00%</w:t>
            </w:r>
          </w:p>
        </w:tc>
      </w:tr>
      <w:tr w:rsidR="00DF0A25" w:rsidRPr="004D45C3" w14:paraId="532AFB57" w14:textId="77777777" w:rsidTr="00DF0A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57E6F142" w14:textId="26DE1289" w:rsidR="00CD3B35" w:rsidRPr="004D45C3" w:rsidRDefault="00CD3B35" w:rsidP="00CD3B3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92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Dirección de </w:t>
            </w:r>
            <w:r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General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1C25741" w14:textId="2B6935D3" w:rsidR="00CD3B35" w:rsidRPr="004D45C3" w:rsidRDefault="00875C37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79A3022" w14:textId="5DF64345" w:rsidR="00CD3B35" w:rsidRPr="004D45C3" w:rsidRDefault="0023713A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13541D2" w14:textId="330BA6A3" w:rsidR="00CD3B35" w:rsidRPr="004D45C3" w:rsidRDefault="001F1EA7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C61E35" w:rsidRPr="004D45C3" w14:paraId="5EE85880" w14:textId="77777777" w:rsidTr="00DF0A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0202EC2B" w14:textId="2F8444F1" w:rsidR="00CD3B35" w:rsidRPr="00875C37" w:rsidRDefault="00D45633" w:rsidP="00CD3B35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75C3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 Dirección</w:t>
            </w: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 </w:t>
            </w:r>
            <w:r w:rsidR="0023713A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Administrativa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52AE9A3" w14:textId="4ECD8240" w:rsidR="00CD3B35" w:rsidRPr="004D45C3" w:rsidRDefault="00D45633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A51FF04" w14:textId="00559178" w:rsidR="00CD3B35" w:rsidRPr="004D45C3" w:rsidRDefault="0023713A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6B0FD0A" w14:textId="12E04580" w:rsidR="00CD3B35" w:rsidRPr="004D45C3" w:rsidRDefault="001F1EA7" w:rsidP="00DF0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DF0A25" w:rsidRPr="004D45C3" w14:paraId="6BA01C05" w14:textId="77777777" w:rsidTr="00DF0A2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140529A3" w14:textId="25EA1632" w:rsidR="00D45633" w:rsidRDefault="00D45633" w:rsidP="00D45633">
            <w:pPr>
              <w:spacing w:after="0" w:line="240" w:lineRule="auto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875C37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Oficina TIC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51B0A1D" w14:textId="3D0AAC23" w:rsidR="00D45633" w:rsidRDefault="00D45633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95FC158" w14:textId="6DBA59BF" w:rsidR="00D45633" w:rsidRDefault="0023713A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9891966" w14:textId="1E5CD753" w:rsidR="00D45633" w:rsidRDefault="001F1EA7" w:rsidP="00DF0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100,00%</w:t>
            </w:r>
          </w:p>
        </w:tc>
      </w:tr>
      <w:tr w:rsidR="00C61E35" w:rsidRPr="004D45C3" w14:paraId="3988CBD8" w14:textId="77777777" w:rsidTr="00FE08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5B782B0B" w14:textId="77777777" w:rsidR="00D45633" w:rsidRPr="004D45C3" w:rsidRDefault="00D45633" w:rsidP="00D4563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4" w:type="dxa"/>
            <w:noWrap/>
            <w:vAlign w:val="center"/>
          </w:tcPr>
          <w:p w14:paraId="2C18297A" w14:textId="232DEDE4" w:rsidR="00D45633" w:rsidRPr="00056CC8" w:rsidRDefault="00D45633" w:rsidP="00D456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843" w:type="dxa"/>
            <w:noWrap/>
            <w:vAlign w:val="center"/>
          </w:tcPr>
          <w:p w14:paraId="35FC0284" w14:textId="1670C9EC" w:rsidR="00D45633" w:rsidRPr="00056CC8" w:rsidRDefault="0023713A" w:rsidP="00D456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160</w:t>
            </w:r>
          </w:p>
        </w:tc>
        <w:tc>
          <w:tcPr>
            <w:tcW w:w="1583" w:type="dxa"/>
            <w:noWrap/>
            <w:vAlign w:val="center"/>
          </w:tcPr>
          <w:p w14:paraId="1FF94996" w14:textId="0B480077" w:rsidR="00D45633" w:rsidRPr="00056CC8" w:rsidRDefault="00C61E35" w:rsidP="00D4563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61E35">
              <w:rPr>
                <w:rFonts w:ascii="Arial" w:hAnsi="Arial" w:cs="Arial"/>
                <w:b/>
                <w:color w:val="000000"/>
                <w:sz w:val="20"/>
                <w:szCs w:val="20"/>
              </w:rPr>
              <w:t>56,5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4%</w:t>
            </w:r>
          </w:p>
        </w:tc>
      </w:tr>
    </w:tbl>
    <w:p w14:paraId="2160B7AD" w14:textId="2931185A" w:rsidR="00E92AAD" w:rsidRPr="008B7823" w:rsidRDefault="00E92AAD" w:rsidP="00E92AA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DD1316">
        <w:rPr>
          <w:rFonts w:ascii="Arial" w:hAnsi="Arial" w:cs="Arial"/>
          <w:color w:val="000000" w:themeColor="text1"/>
          <w:sz w:val="18"/>
          <w:szCs w:val="18"/>
        </w:rPr>
        <w:t>3</w:t>
      </w: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r w:rsidR="00F7780C" w:rsidRPr="00C908B0">
        <w:rPr>
          <w:rFonts w:ascii="Arial" w:hAnsi="Arial" w:cs="Arial"/>
          <w:color w:val="000000" w:themeColor="text1"/>
          <w:sz w:val="18"/>
          <w:szCs w:val="18"/>
        </w:rPr>
        <w:t>PQRSD cerradas en el mismo periodo</w:t>
      </w:r>
    </w:p>
    <w:p w14:paraId="16733939" w14:textId="269CF5F0" w:rsidR="00E92AAD" w:rsidRPr="008B7823" w:rsidRDefault="00E92AAD" w:rsidP="00E92AA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5D66FD39" w14:textId="05C48B9B" w:rsidR="00E92AAD" w:rsidRDefault="00E92AAD" w:rsidP="00E92AAD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1C113C7C" w14:textId="5B494831" w:rsidR="000607EB" w:rsidRDefault="000607EB" w:rsidP="000607EB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En la tabla No. 3, podemos observar que la Dirección de Reasentamientos Humanos fue la dependencia que más PQRSD soluciono, con 60 (100%); de las cuales </w:t>
      </w:r>
      <w:r w:rsidR="00B24B3C">
        <w:rPr>
          <w:rFonts w:ascii="Arial" w:hAnsi="Arial" w:cs="Arial"/>
          <w:color w:val="000000" w:themeColor="text1"/>
        </w:rPr>
        <w:t>25</w:t>
      </w:r>
      <w:r>
        <w:rPr>
          <w:rFonts w:ascii="Arial" w:hAnsi="Arial" w:cs="Arial"/>
          <w:color w:val="000000" w:themeColor="text1"/>
        </w:rPr>
        <w:t xml:space="preserve"> (</w:t>
      </w:r>
      <w:r w:rsidR="00B24B3C">
        <w:rPr>
          <w:rFonts w:ascii="Arial" w:hAnsi="Arial" w:cs="Arial"/>
          <w:color w:val="000000" w:themeColor="text1"/>
        </w:rPr>
        <w:t>41,67</w:t>
      </w:r>
      <w:r>
        <w:rPr>
          <w:rFonts w:ascii="Arial" w:hAnsi="Arial" w:cs="Arial"/>
          <w:color w:val="000000" w:themeColor="text1"/>
        </w:rPr>
        <w:t xml:space="preserve">%) se respondieron cumpliendo los tiempos que determina la ley y </w:t>
      </w:r>
      <w:r w:rsidR="002C5D7A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 xml:space="preserve"> (</w:t>
      </w:r>
      <w:r w:rsidR="002C5D7A" w:rsidRPr="002C5D7A">
        <w:rPr>
          <w:rFonts w:ascii="Arial" w:hAnsi="Arial" w:cs="Arial"/>
          <w:color w:val="000000" w:themeColor="text1"/>
        </w:rPr>
        <w:t>11,6</w:t>
      </w:r>
      <w:r w:rsidR="002C5D7A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%)</w:t>
      </w:r>
      <w:r w:rsidR="00F66A5D">
        <w:rPr>
          <w:rFonts w:ascii="Arial" w:hAnsi="Arial" w:cs="Arial"/>
          <w:color w:val="000000" w:themeColor="text1"/>
        </w:rPr>
        <w:t xml:space="preserve"> por fuera de los tiempos máximos que establece la ley.</w:t>
      </w:r>
      <w:r w:rsidR="00B24B3C">
        <w:rPr>
          <w:rFonts w:ascii="Arial" w:hAnsi="Arial" w:cs="Arial"/>
          <w:color w:val="000000" w:themeColor="text1"/>
        </w:rPr>
        <w:t xml:space="preserve"> </w:t>
      </w:r>
      <w:r w:rsidR="00E51969">
        <w:rPr>
          <w:rFonts w:ascii="Arial" w:hAnsi="Arial" w:cs="Arial"/>
          <w:color w:val="000000" w:themeColor="text1"/>
        </w:rPr>
        <w:t>Por ultimo, 28 (</w:t>
      </w:r>
      <w:r w:rsidR="00E51969" w:rsidRPr="00E51969">
        <w:rPr>
          <w:rFonts w:ascii="Arial" w:hAnsi="Arial" w:cs="Arial"/>
          <w:color w:val="000000" w:themeColor="text1"/>
        </w:rPr>
        <w:t>46,6</w:t>
      </w:r>
      <w:r w:rsidR="00496713">
        <w:rPr>
          <w:rFonts w:ascii="Arial" w:hAnsi="Arial" w:cs="Arial"/>
          <w:color w:val="000000" w:themeColor="text1"/>
        </w:rPr>
        <w:t>6</w:t>
      </w:r>
      <w:r w:rsidR="00E51969">
        <w:rPr>
          <w:rFonts w:ascii="Arial" w:hAnsi="Arial" w:cs="Arial"/>
          <w:color w:val="000000" w:themeColor="text1"/>
        </w:rPr>
        <w:t>%) fueron solucionadas de manera anticipada ya que tenían vencimiento en el mes de septiembre de 2018.</w:t>
      </w:r>
    </w:p>
    <w:p w14:paraId="4215516C" w14:textId="36A4B51D" w:rsidR="000A5EA7" w:rsidRDefault="000A5EA7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7C4EA15" w14:textId="77777777" w:rsidR="005349DD" w:rsidRDefault="005349DD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6E62A5D3" w14:textId="431D7C45" w:rsidR="005349DD" w:rsidRPr="0022503E" w:rsidRDefault="005349DD" w:rsidP="005349DD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784096">
        <w:rPr>
          <w:rFonts w:ascii="Arial" w:hAnsi="Arial" w:cs="Arial"/>
          <w:b/>
          <w:color w:val="000000" w:themeColor="text1"/>
        </w:rPr>
        <w:t xml:space="preserve">PQRSD CERRADAS </w:t>
      </w:r>
      <w:r w:rsidR="001D0E13">
        <w:rPr>
          <w:rFonts w:ascii="Arial" w:hAnsi="Arial" w:cs="Arial"/>
          <w:b/>
          <w:color w:val="000000" w:themeColor="text1"/>
        </w:rPr>
        <w:t xml:space="preserve">DE </w:t>
      </w:r>
      <w:r w:rsidRPr="00784096">
        <w:rPr>
          <w:rFonts w:ascii="Arial" w:hAnsi="Arial" w:cs="Arial"/>
          <w:b/>
          <w:color w:val="000000" w:themeColor="text1"/>
        </w:rPr>
        <w:t>PERÍODOS ANTERIORES</w:t>
      </w:r>
      <w:r w:rsidRPr="0022503E">
        <w:rPr>
          <w:rFonts w:ascii="Arial" w:hAnsi="Arial" w:cs="Arial"/>
          <w:b/>
          <w:color w:val="000000" w:themeColor="text1"/>
        </w:rPr>
        <w:t xml:space="preserve"> </w:t>
      </w:r>
    </w:p>
    <w:p w14:paraId="14DC0BFA" w14:textId="4FFFEF25" w:rsidR="00E51969" w:rsidRDefault="00E51969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A7D9B04" w14:textId="497254CD" w:rsidR="00881623" w:rsidRDefault="00881623" w:rsidP="0088162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los meses de junio</w:t>
      </w:r>
      <w:r w:rsidR="00DA2EA0">
        <w:rPr>
          <w:rFonts w:ascii="Arial" w:hAnsi="Arial" w:cs="Arial"/>
          <w:color w:val="000000" w:themeColor="text1"/>
        </w:rPr>
        <w:t xml:space="preserve"> y julio</w:t>
      </w:r>
      <w:r>
        <w:rPr>
          <w:rFonts w:ascii="Arial" w:hAnsi="Arial" w:cs="Arial"/>
          <w:color w:val="000000" w:themeColor="text1"/>
        </w:rPr>
        <w:t xml:space="preserve"> llegan 1</w:t>
      </w:r>
      <w:r w:rsidR="00DA2EA0">
        <w:rPr>
          <w:rFonts w:ascii="Arial" w:hAnsi="Arial" w:cs="Arial"/>
          <w:color w:val="000000" w:themeColor="text1"/>
        </w:rPr>
        <w:t>50</w:t>
      </w:r>
      <w:r w:rsidR="002C3234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(100%) PQRSD que no fueron solucionadas en los mencionados meses, </w:t>
      </w:r>
      <w:r w:rsidR="00BA6250">
        <w:rPr>
          <w:rFonts w:ascii="Arial" w:hAnsi="Arial" w:cs="Arial"/>
          <w:color w:val="000000" w:themeColor="text1"/>
        </w:rPr>
        <w:t>2</w:t>
      </w:r>
      <w:r>
        <w:rPr>
          <w:rFonts w:ascii="Arial" w:hAnsi="Arial" w:cs="Arial"/>
          <w:color w:val="000000" w:themeColor="text1"/>
        </w:rPr>
        <w:t xml:space="preserve"> (</w:t>
      </w:r>
      <w:r w:rsidR="00BA6250">
        <w:rPr>
          <w:rFonts w:ascii="Arial" w:hAnsi="Arial" w:cs="Arial"/>
          <w:color w:val="000000" w:themeColor="text1"/>
        </w:rPr>
        <w:t>1,33</w:t>
      </w:r>
      <w:r>
        <w:rPr>
          <w:rFonts w:ascii="Arial" w:hAnsi="Arial" w:cs="Arial"/>
          <w:color w:val="000000" w:themeColor="text1"/>
        </w:rPr>
        <w:t xml:space="preserve">%) de </w:t>
      </w:r>
      <w:r w:rsidR="00BA6250">
        <w:rPr>
          <w:rFonts w:ascii="Arial" w:hAnsi="Arial" w:cs="Arial"/>
          <w:color w:val="000000" w:themeColor="text1"/>
        </w:rPr>
        <w:t>junio</w:t>
      </w:r>
      <w:r>
        <w:rPr>
          <w:rFonts w:ascii="Arial" w:hAnsi="Arial" w:cs="Arial"/>
          <w:color w:val="000000" w:themeColor="text1"/>
        </w:rPr>
        <w:t xml:space="preserve"> y 1</w:t>
      </w:r>
      <w:r w:rsidR="00BA6250">
        <w:rPr>
          <w:rFonts w:ascii="Arial" w:hAnsi="Arial" w:cs="Arial"/>
          <w:color w:val="000000" w:themeColor="text1"/>
        </w:rPr>
        <w:t>48</w:t>
      </w:r>
      <w:r>
        <w:rPr>
          <w:rFonts w:ascii="Arial" w:hAnsi="Arial" w:cs="Arial"/>
          <w:color w:val="000000" w:themeColor="text1"/>
        </w:rPr>
        <w:t xml:space="preserve"> (</w:t>
      </w:r>
      <w:r w:rsidR="00BA6250" w:rsidRPr="00BA6250">
        <w:rPr>
          <w:rFonts w:ascii="Arial" w:hAnsi="Arial" w:cs="Arial"/>
          <w:color w:val="000000" w:themeColor="text1"/>
        </w:rPr>
        <w:t>98,6</w:t>
      </w:r>
      <w:r w:rsidR="00BA6250">
        <w:rPr>
          <w:rFonts w:ascii="Arial" w:hAnsi="Arial" w:cs="Arial"/>
          <w:color w:val="000000" w:themeColor="text1"/>
        </w:rPr>
        <w:t>7</w:t>
      </w:r>
      <w:r>
        <w:rPr>
          <w:rFonts w:ascii="Arial" w:hAnsi="Arial" w:cs="Arial"/>
          <w:color w:val="000000" w:themeColor="text1"/>
        </w:rPr>
        <w:t>%) corresponden a ju</w:t>
      </w:r>
      <w:r w:rsidR="00BA6250">
        <w:rPr>
          <w:rFonts w:ascii="Arial" w:hAnsi="Arial" w:cs="Arial"/>
          <w:color w:val="000000" w:themeColor="text1"/>
        </w:rPr>
        <w:t>l</w:t>
      </w:r>
      <w:r>
        <w:rPr>
          <w:rFonts w:ascii="Arial" w:hAnsi="Arial" w:cs="Arial"/>
          <w:color w:val="000000" w:themeColor="text1"/>
        </w:rPr>
        <w:t>io.</w:t>
      </w:r>
    </w:p>
    <w:p w14:paraId="4FB0C43D" w14:textId="77777777" w:rsidR="00881623" w:rsidRDefault="00881623" w:rsidP="0088162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4B65458E" w14:textId="785D8CB1" w:rsidR="00881623" w:rsidRPr="007046E5" w:rsidRDefault="00881623" w:rsidP="00881623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De estas 1</w:t>
      </w:r>
      <w:r w:rsidR="00A355C8">
        <w:rPr>
          <w:rFonts w:ascii="Arial" w:hAnsi="Arial" w:cs="Arial"/>
          <w:color w:val="000000" w:themeColor="text1"/>
        </w:rPr>
        <w:t>50</w:t>
      </w:r>
      <w:r w:rsidR="007574A0">
        <w:rPr>
          <w:rFonts w:ascii="Arial" w:hAnsi="Arial" w:cs="Arial"/>
          <w:color w:val="000000" w:themeColor="text1"/>
        </w:rPr>
        <w:t xml:space="preserve"> PQRSD </w:t>
      </w:r>
      <w:r>
        <w:rPr>
          <w:rFonts w:ascii="Arial" w:hAnsi="Arial" w:cs="Arial"/>
          <w:color w:val="000000" w:themeColor="text1"/>
        </w:rPr>
        <w:t xml:space="preserve">se dio solución al </w:t>
      </w:r>
      <w:r w:rsidR="008C2C5B">
        <w:rPr>
          <w:rFonts w:ascii="Arial" w:hAnsi="Arial" w:cs="Arial"/>
          <w:color w:val="000000" w:themeColor="text1"/>
        </w:rPr>
        <w:t>100,00</w:t>
      </w:r>
      <w:r>
        <w:rPr>
          <w:rFonts w:ascii="Arial" w:hAnsi="Arial" w:cs="Arial"/>
          <w:color w:val="000000" w:themeColor="text1"/>
        </w:rPr>
        <w:t xml:space="preserve">% </w:t>
      </w:r>
      <w:r w:rsidR="007574A0">
        <w:rPr>
          <w:rFonts w:ascii="Arial" w:hAnsi="Arial" w:cs="Arial"/>
          <w:color w:val="000000" w:themeColor="text1"/>
        </w:rPr>
        <w:t>de ellas</w:t>
      </w:r>
      <w:r>
        <w:rPr>
          <w:rFonts w:ascii="Arial" w:hAnsi="Arial" w:cs="Arial"/>
          <w:color w:val="000000" w:themeColor="text1"/>
        </w:rPr>
        <w:t>. Y de las anteriores</w:t>
      </w:r>
      <w:r w:rsidR="0083356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el </w:t>
      </w:r>
      <w:r w:rsidR="003B51E8">
        <w:rPr>
          <w:rFonts w:ascii="Arial" w:hAnsi="Arial" w:cs="Arial"/>
          <w:color w:val="000000" w:themeColor="text1"/>
        </w:rPr>
        <w:t>84,00</w:t>
      </w:r>
      <w:r>
        <w:rPr>
          <w:rFonts w:ascii="Arial" w:hAnsi="Arial" w:cs="Arial"/>
          <w:color w:val="000000" w:themeColor="text1"/>
        </w:rPr>
        <w:t>% (1</w:t>
      </w:r>
      <w:r w:rsidR="007541F2">
        <w:rPr>
          <w:rFonts w:ascii="Arial" w:hAnsi="Arial" w:cs="Arial"/>
          <w:color w:val="000000" w:themeColor="text1"/>
        </w:rPr>
        <w:t>26</w:t>
      </w:r>
      <w:r>
        <w:rPr>
          <w:rFonts w:ascii="Arial" w:hAnsi="Arial" w:cs="Arial"/>
          <w:color w:val="000000" w:themeColor="text1"/>
        </w:rPr>
        <w:t xml:space="preserve">) se respondieron de manera oportuna y el </w:t>
      </w:r>
      <w:r w:rsidR="00A3200C">
        <w:rPr>
          <w:rFonts w:ascii="Arial" w:hAnsi="Arial" w:cs="Arial"/>
          <w:color w:val="000000" w:themeColor="text1"/>
        </w:rPr>
        <w:t>16</w:t>
      </w:r>
      <w:r>
        <w:rPr>
          <w:rFonts w:ascii="Arial" w:hAnsi="Arial" w:cs="Arial"/>
          <w:color w:val="000000" w:themeColor="text1"/>
        </w:rPr>
        <w:t>,00% (</w:t>
      </w:r>
      <w:r w:rsidR="00A3200C">
        <w:rPr>
          <w:rFonts w:ascii="Arial" w:hAnsi="Arial" w:cs="Arial"/>
          <w:color w:val="000000" w:themeColor="text1"/>
        </w:rPr>
        <w:t>24</w:t>
      </w:r>
      <w:r>
        <w:rPr>
          <w:rFonts w:ascii="Arial" w:hAnsi="Arial" w:cs="Arial"/>
          <w:color w:val="000000" w:themeColor="text1"/>
        </w:rPr>
        <w:t>) se solucionaron por fuera de los tiempos que establece la Ley.</w:t>
      </w:r>
    </w:p>
    <w:p w14:paraId="3879B6E6" w14:textId="306A7491" w:rsidR="005349DD" w:rsidRDefault="005349DD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F069E70" w14:textId="3BF91EA2" w:rsidR="005349DD" w:rsidRDefault="005349DD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F18EEB6" w14:textId="15460BCA" w:rsidR="005349DD" w:rsidRDefault="005349DD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B3F020D" w14:textId="7B3E7301" w:rsidR="00765BAF" w:rsidRDefault="00765BAF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25CED5BE" w14:textId="0AEA8E8D" w:rsidR="00765BAF" w:rsidRDefault="00765BAF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tbl>
      <w:tblPr>
        <w:tblStyle w:val="Tabladecuadrcula4-nfasis11"/>
        <w:tblW w:w="9346" w:type="dxa"/>
        <w:tblInd w:w="108" w:type="dxa"/>
        <w:tblLook w:val="04A0" w:firstRow="1" w:lastRow="0" w:firstColumn="1" w:lastColumn="0" w:noHBand="0" w:noVBand="1"/>
      </w:tblPr>
      <w:tblGrid>
        <w:gridCol w:w="3936"/>
        <w:gridCol w:w="1984"/>
        <w:gridCol w:w="1843"/>
        <w:gridCol w:w="1583"/>
      </w:tblGrid>
      <w:tr w:rsidR="00765BAF" w:rsidRPr="004D45C3" w14:paraId="1029B0BF" w14:textId="77777777" w:rsidTr="001D5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noWrap/>
            <w:vAlign w:val="center"/>
            <w:hideMark/>
          </w:tcPr>
          <w:p w14:paraId="61FA7582" w14:textId="77777777" w:rsidR="00765BAF" w:rsidRPr="004D45C3" w:rsidRDefault="00765BAF" w:rsidP="001D5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lastRenderedPageBreak/>
              <w:t>DEPENDENCIA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07AD71D" w14:textId="77777777" w:rsidR="00765BAF" w:rsidRPr="004D45C3" w:rsidRDefault="00765BAF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PENDIENTES PERIODOS ANTERIORES (1)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639B5A09" w14:textId="77777777" w:rsidR="00765BAF" w:rsidRPr="004D45C3" w:rsidRDefault="00765BAF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C908B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NUMERO DE PQRSD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CERRADOS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DE </w:t>
            </w:r>
            <w:r w:rsidRPr="00EC3B30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>PERIODOS ANTERIORES (2)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vAlign w:val="center"/>
            <w:hideMark/>
          </w:tcPr>
          <w:p w14:paraId="59D9F7B1" w14:textId="77777777" w:rsidR="00765BAF" w:rsidRPr="00E564EA" w:rsidRDefault="00765BAF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  <w:lang w:val="es-ES"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val="es-ES" w:eastAsia="es-CO"/>
              </w:rPr>
              <w:t xml:space="preserve">PORCENTAJE </w:t>
            </w:r>
          </w:p>
          <w:p w14:paraId="1A0014C6" w14:textId="77777777" w:rsidR="00765BAF" w:rsidRPr="004D45C3" w:rsidRDefault="00765BAF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E564EA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((2) / (1)*100)</w:t>
            </w:r>
          </w:p>
        </w:tc>
      </w:tr>
      <w:tr w:rsidR="00765BAF" w:rsidRPr="004D45C3" w14:paraId="37B321A2" w14:textId="77777777" w:rsidTr="009E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  <w:hideMark/>
          </w:tcPr>
          <w:p w14:paraId="2A6E476F" w14:textId="77777777" w:rsidR="00765BAF" w:rsidRPr="004D45C3" w:rsidRDefault="00765BAF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Urbanizaciones y Titulación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3B74211" w14:textId="4E975DBC" w:rsidR="00765BAF" w:rsidRPr="004D45C3" w:rsidRDefault="0063334B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86E70BA" w14:textId="6A272350" w:rsidR="00765BAF" w:rsidRPr="004D45C3" w:rsidRDefault="0063334B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65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FE74E4A" w14:textId="47395DD8" w:rsidR="00765BAF" w:rsidRPr="004D45C3" w:rsidRDefault="00E7119E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765BAF" w:rsidRPr="004D45C3" w14:paraId="7FD3BF5D" w14:textId="77777777" w:rsidTr="009E3C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E1E18E5" w14:textId="77777777" w:rsidR="00765BAF" w:rsidRPr="004D45C3" w:rsidRDefault="00765BAF" w:rsidP="001D5E6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Reasentamientos Humanos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3ADE941" w14:textId="7F8A5191" w:rsidR="00765BAF" w:rsidRPr="004D45C3" w:rsidRDefault="0063334B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1DA10FF" w14:textId="4E0B3D47" w:rsidR="00765BAF" w:rsidRPr="004D45C3" w:rsidRDefault="0063334B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50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75CACAD2" w14:textId="5A945958" w:rsidR="00765BAF" w:rsidRPr="004D45C3" w:rsidRDefault="00E7119E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765BAF" w:rsidRPr="004D45C3" w14:paraId="602EB8FB" w14:textId="77777777" w:rsidTr="009E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79615455" w14:textId="77777777" w:rsidR="00765BAF" w:rsidRPr="004D45C3" w:rsidRDefault="00765BAF" w:rsidP="001D5E6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Mejoramiento de Vivienda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5ED4355" w14:textId="07D4C6F9" w:rsidR="00765BAF" w:rsidRPr="004D45C3" w:rsidRDefault="0063334B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A3CD080" w14:textId="5DC37E3D" w:rsidR="00765BAF" w:rsidRPr="004D45C3" w:rsidRDefault="0063334B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A176FF4" w14:textId="08345ED0" w:rsidR="00765BAF" w:rsidRPr="004D45C3" w:rsidRDefault="00E7119E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9E3CC8" w:rsidRPr="004D45C3" w14:paraId="3AF0CC62" w14:textId="77777777" w:rsidTr="009E3C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7D0A8084" w14:textId="20C6EE46" w:rsidR="009E3CC8" w:rsidRPr="004D45C3" w:rsidRDefault="009E3CC8" w:rsidP="009E3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Dirección de Mejoramiento de Barrios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6F13DE5" w14:textId="0AAFBCB7" w:rsidR="009E3CC8" w:rsidRDefault="009E3CC8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FE02A12" w14:textId="12E75E53" w:rsidR="009E3CC8" w:rsidRDefault="009E3CC8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5BAD101" w14:textId="5C25FCDF" w:rsidR="009E3CC8" w:rsidRPr="004D45C3" w:rsidRDefault="00E7119E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9E3CC8" w:rsidRPr="004D45C3" w14:paraId="36B06F61" w14:textId="77777777" w:rsidTr="009E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7B7B711D" w14:textId="77777777" w:rsidR="009E3CC8" w:rsidRPr="004D45C3" w:rsidRDefault="009E3CC8" w:rsidP="009E3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45C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Subdirección Financiera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9AF5002" w14:textId="21D0EC7D" w:rsidR="009E3CC8" w:rsidRPr="004D45C3" w:rsidRDefault="009E3CC8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659D3AE9" w14:textId="670D312E" w:rsidR="009E3CC8" w:rsidRPr="004D45C3" w:rsidRDefault="009E3CC8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BE9E2D8" w14:textId="3862D067" w:rsidR="009E3CC8" w:rsidRPr="004D45C3" w:rsidRDefault="00E7119E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9E3CC8" w:rsidRPr="004D45C3" w14:paraId="36B993D7" w14:textId="77777777" w:rsidTr="009E3C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29ADC032" w14:textId="3A1D44E0" w:rsidR="009E3CC8" w:rsidRPr="004D45C3" w:rsidRDefault="009E3CC8" w:rsidP="009E3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 xml:space="preserve">Dirección General 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09B2FD7B" w14:textId="0FE81A6C" w:rsidR="009E3CC8" w:rsidRPr="004D45C3" w:rsidRDefault="009E3CC8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2B31DD1" w14:textId="564A5AEE" w:rsidR="009E3CC8" w:rsidRPr="004D45C3" w:rsidRDefault="009E3CC8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C8BB55E" w14:textId="41E1CDA5" w:rsidR="009E3CC8" w:rsidRPr="004D45C3" w:rsidRDefault="00E7119E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9E3CC8" w:rsidRPr="004D45C3" w14:paraId="6AD0F09F" w14:textId="77777777" w:rsidTr="009E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08697DE5" w14:textId="1DFBE886" w:rsidR="009E3CC8" w:rsidRPr="004D45C3" w:rsidRDefault="009E3CC8" w:rsidP="009E3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924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Sub Dirección Administrativa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20F650D" w14:textId="64143039" w:rsidR="009E3CC8" w:rsidRPr="004D45C3" w:rsidRDefault="009E3CC8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33A479AB" w14:textId="758AE8D9" w:rsidR="009E3CC8" w:rsidRPr="004D45C3" w:rsidRDefault="009E3CC8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47DC55B6" w14:textId="0E9AFEB2" w:rsidR="009E3CC8" w:rsidRPr="004D45C3" w:rsidRDefault="00E7119E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9E3CC8" w:rsidRPr="004D45C3" w14:paraId="6045341B" w14:textId="77777777" w:rsidTr="009E3CC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tcBorders>
              <w:top w:val="single" w:sz="4" w:space="0" w:color="DBE5F1" w:themeColor="accent1" w:themeTint="33"/>
            </w:tcBorders>
            <w:vAlign w:val="center"/>
          </w:tcPr>
          <w:p w14:paraId="6CABE4DE" w14:textId="42B6FB47" w:rsidR="009E3CC8" w:rsidRPr="004D45C3" w:rsidRDefault="009E3CC8" w:rsidP="009E3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1924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1984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19780213" w14:textId="00D2A06C" w:rsidR="009E3CC8" w:rsidRPr="004D45C3" w:rsidRDefault="009E3CC8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84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2BF45C42" w14:textId="2B61099B" w:rsidR="009E3CC8" w:rsidRPr="004D45C3" w:rsidRDefault="009E3CC8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1583" w:type="dxa"/>
            <w:tcBorders>
              <w:top w:val="single" w:sz="4" w:space="0" w:color="DBE5F1" w:themeColor="accent1" w:themeTint="33"/>
            </w:tcBorders>
            <w:noWrap/>
            <w:vAlign w:val="center"/>
          </w:tcPr>
          <w:p w14:paraId="58842325" w14:textId="6B29BEA4" w:rsidR="009E3CC8" w:rsidRPr="004D45C3" w:rsidRDefault="00E7119E" w:rsidP="009E3C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  <w:tr w:rsidR="009E3CC8" w:rsidRPr="004D45C3" w14:paraId="558FE180" w14:textId="77777777" w:rsidTr="009E3C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  <w:vAlign w:val="center"/>
          </w:tcPr>
          <w:p w14:paraId="7F4B5EA5" w14:textId="77777777" w:rsidR="009E3CC8" w:rsidRPr="004D45C3" w:rsidRDefault="009E3CC8" w:rsidP="009E3CC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08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984" w:type="dxa"/>
            <w:noWrap/>
            <w:vAlign w:val="center"/>
          </w:tcPr>
          <w:p w14:paraId="097AE505" w14:textId="55B17903" w:rsidR="009E3CC8" w:rsidRPr="00E7119E" w:rsidRDefault="009E3CC8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119E"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843" w:type="dxa"/>
            <w:noWrap/>
            <w:vAlign w:val="center"/>
          </w:tcPr>
          <w:p w14:paraId="4AB094B5" w14:textId="7C69E321" w:rsidR="009E3CC8" w:rsidRPr="00E7119E" w:rsidRDefault="009E3CC8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E711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150</w:t>
            </w:r>
          </w:p>
        </w:tc>
        <w:tc>
          <w:tcPr>
            <w:tcW w:w="1583" w:type="dxa"/>
            <w:noWrap/>
            <w:vAlign w:val="center"/>
          </w:tcPr>
          <w:p w14:paraId="7345BDD1" w14:textId="3B837A76" w:rsidR="009E3CC8" w:rsidRPr="00E7119E" w:rsidRDefault="00E7119E" w:rsidP="009E3C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7119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100%</w:t>
            </w:r>
          </w:p>
        </w:tc>
      </w:tr>
    </w:tbl>
    <w:p w14:paraId="3D8F6F0D" w14:textId="22C1112C" w:rsidR="00D174F7" w:rsidRPr="008B7823" w:rsidRDefault="00D174F7" w:rsidP="00D174F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  <w:bookmarkStart w:id="1" w:name="_Hlk514921682"/>
      <w:r w:rsidRPr="008B7823">
        <w:rPr>
          <w:rFonts w:ascii="Arial" w:hAnsi="Arial" w:cs="Arial"/>
          <w:color w:val="000000" w:themeColor="text1"/>
          <w:sz w:val="18"/>
          <w:szCs w:val="18"/>
        </w:rPr>
        <w:t>PQRSD cerradas del periodo anterior en el periodo actual</w:t>
      </w:r>
      <w:bookmarkEnd w:id="1"/>
    </w:p>
    <w:p w14:paraId="42A41B4A" w14:textId="77777777" w:rsidR="00D174F7" w:rsidRPr="008B7823" w:rsidRDefault="00D174F7" w:rsidP="00D174F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B7823">
        <w:rPr>
          <w:rFonts w:ascii="Arial" w:hAnsi="Arial" w:cs="Arial"/>
          <w:color w:val="000000" w:themeColor="text1"/>
          <w:sz w:val="18"/>
          <w:szCs w:val="18"/>
        </w:rPr>
        <w:t xml:space="preserve">Fuente: SDQS </w:t>
      </w:r>
    </w:p>
    <w:p w14:paraId="636B775C" w14:textId="2CCEF0D8" w:rsidR="00765BAF" w:rsidRDefault="00765BAF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4E1512F1" w14:textId="744A33BD" w:rsidR="00D174F7" w:rsidRPr="00F346EA" w:rsidRDefault="00D174F7" w:rsidP="00D174F7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F346EA">
        <w:rPr>
          <w:rFonts w:ascii="Arial" w:hAnsi="Arial" w:cs="Arial"/>
          <w:color w:val="000000" w:themeColor="text1"/>
        </w:rPr>
        <w:t xml:space="preserve">En la tabla No. </w:t>
      </w:r>
      <w:r w:rsidR="00515249" w:rsidRPr="00F346EA">
        <w:rPr>
          <w:rFonts w:ascii="Arial" w:hAnsi="Arial" w:cs="Arial"/>
          <w:color w:val="000000" w:themeColor="text1"/>
        </w:rPr>
        <w:t>4</w:t>
      </w:r>
      <w:r w:rsidRPr="00F346EA">
        <w:rPr>
          <w:rFonts w:ascii="Arial" w:hAnsi="Arial" w:cs="Arial"/>
          <w:color w:val="000000" w:themeColor="text1"/>
        </w:rPr>
        <w:t xml:space="preserve">, podemos observar que la </w:t>
      </w:r>
      <w:r w:rsidRPr="00F346EA">
        <w:rPr>
          <w:rFonts w:ascii="Arial" w:hAnsi="Arial" w:cs="Arial"/>
          <w:color w:val="000000"/>
        </w:rPr>
        <w:t>Dirección de Urbanizaciones y Titulación</w:t>
      </w:r>
      <w:r w:rsidRPr="00F346EA">
        <w:rPr>
          <w:rFonts w:ascii="Arial" w:hAnsi="Arial" w:cs="Arial"/>
          <w:color w:val="000000" w:themeColor="text1"/>
        </w:rPr>
        <w:t xml:space="preserve"> fue la dependencia que más PQRSD soluciono. De estas el</w:t>
      </w:r>
      <w:r w:rsidR="00184E05">
        <w:rPr>
          <w:rFonts w:ascii="Arial" w:hAnsi="Arial" w:cs="Arial"/>
          <w:color w:val="000000" w:themeColor="text1"/>
        </w:rPr>
        <w:t xml:space="preserve"> </w:t>
      </w:r>
      <w:r w:rsidR="00184E05" w:rsidRPr="00184E05">
        <w:rPr>
          <w:rFonts w:ascii="Arial" w:hAnsi="Arial" w:cs="Arial"/>
          <w:color w:val="000000" w:themeColor="text1"/>
        </w:rPr>
        <w:t>81,5</w:t>
      </w:r>
      <w:r w:rsidR="00184E05">
        <w:rPr>
          <w:rFonts w:ascii="Arial" w:hAnsi="Arial" w:cs="Arial"/>
          <w:color w:val="000000" w:themeColor="text1"/>
        </w:rPr>
        <w:t>4</w:t>
      </w:r>
      <w:r w:rsidRPr="00F346EA">
        <w:rPr>
          <w:rFonts w:ascii="Arial" w:hAnsi="Arial" w:cs="Arial"/>
          <w:color w:val="000000" w:themeColor="text1"/>
        </w:rPr>
        <w:t>% (5</w:t>
      </w:r>
      <w:r w:rsidR="00184E05">
        <w:rPr>
          <w:rFonts w:ascii="Arial" w:hAnsi="Arial" w:cs="Arial"/>
          <w:color w:val="000000" w:themeColor="text1"/>
        </w:rPr>
        <w:t>3</w:t>
      </w:r>
      <w:r w:rsidRPr="00F346EA">
        <w:rPr>
          <w:rFonts w:ascii="Arial" w:hAnsi="Arial" w:cs="Arial"/>
          <w:color w:val="000000" w:themeColor="text1"/>
        </w:rPr>
        <w:t xml:space="preserve">) PQRSD fueron solucionadas de manera oportuna y tan solo </w:t>
      </w:r>
      <w:r w:rsidR="00184E05" w:rsidRPr="00184E05">
        <w:rPr>
          <w:rFonts w:ascii="Arial" w:hAnsi="Arial" w:cs="Arial"/>
          <w:color w:val="000000" w:themeColor="text1"/>
        </w:rPr>
        <w:t>18,46</w:t>
      </w:r>
      <w:r w:rsidRPr="00F346EA">
        <w:rPr>
          <w:rFonts w:ascii="Arial" w:hAnsi="Arial" w:cs="Arial"/>
          <w:color w:val="000000" w:themeColor="text1"/>
        </w:rPr>
        <w:t>% (</w:t>
      </w:r>
      <w:r w:rsidR="00184E05">
        <w:rPr>
          <w:rFonts w:ascii="Arial" w:hAnsi="Arial" w:cs="Arial"/>
          <w:color w:val="000000" w:themeColor="text1"/>
        </w:rPr>
        <w:t>12</w:t>
      </w:r>
      <w:r w:rsidRPr="00F346EA">
        <w:rPr>
          <w:rFonts w:ascii="Arial" w:hAnsi="Arial" w:cs="Arial"/>
          <w:color w:val="000000" w:themeColor="text1"/>
        </w:rPr>
        <w:t xml:space="preserve">) fueron solucionadas por fuera de los tiempos que establece la Ley.  </w:t>
      </w:r>
    </w:p>
    <w:p w14:paraId="15761DD6" w14:textId="6F63642B" w:rsidR="005349DD" w:rsidRDefault="005349DD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306C61F" w14:textId="77777777" w:rsidR="005349DD" w:rsidRPr="007E2536" w:rsidRDefault="005349DD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59EDADE0" w14:textId="3C7E82AC" w:rsidR="00A84DF9" w:rsidRPr="007E2536" w:rsidRDefault="00A84DF9" w:rsidP="00CB05A2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color w:val="000000" w:themeColor="text1"/>
        </w:rPr>
      </w:pPr>
      <w:r w:rsidRPr="007E2536">
        <w:rPr>
          <w:rFonts w:ascii="Arial" w:hAnsi="Arial" w:cs="Arial"/>
          <w:b/>
          <w:color w:val="000000" w:themeColor="text1"/>
        </w:rPr>
        <w:t xml:space="preserve">TIEMPO PROMEDIO DE RESPUESTA POR TIPOLOGÍA Y DEPENDENCIA </w:t>
      </w:r>
    </w:p>
    <w:p w14:paraId="0E34481D" w14:textId="77777777" w:rsidR="00A84DF9" w:rsidRPr="007E2536" w:rsidRDefault="00A84DF9" w:rsidP="00986D26">
      <w:pPr>
        <w:pStyle w:val="Prrafodelista"/>
        <w:spacing w:after="0" w:line="240" w:lineRule="auto"/>
        <w:ind w:left="1440"/>
        <w:jc w:val="both"/>
        <w:rPr>
          <w:rFonts w:ascii="Arial" w:hAnsi="Arial" w:cs="Arial"/>
          <w:b/>
          <w:color w:val="000000" w:themeColor="text1"/>
        </w:rPr>
      </w:pPr>
    </w:p>
    <w:p w14:paraId="14DAFD62" w14:textId="180B7C63" w:rsidR="00724BB3" w:rsidRDefault="00724BB3" w:rsidP="00724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siguiente tabla, se puede observar los tiempos promedios para las respuestas generadas y cerradas en el SDQS para el mes de </w:t>
      </w:r>
      <w:r w:rsidR="00153761">
        <w:rPr>
          <w:rFonts w:ascii="Arial" w:hAnsi="Arial" w:cs="Arial"/>
        </w:rPr>
        <w:t xml:space="preserve">agosto </w:t>
      </w:r>
      <w:r>
        <w:rPr>
          <w:rFonts w:ascii="Arial" w:hAnsi="Arial" w:cs="Arial"/>
        </w:rPr>
        <w:t xml:space="preserve">de 2018. Para el presente mes </w:t>
      </w:r>
      <w:r w:rsidR="00783669">
        <w:rPr>
          <w:rFonts w:ascii="Arial" w:hAnsi="Arial" w:cs="Arial"/>
        </w:rPr>
        <w:t xml:space="preserve">se encontraron en promedio </w:t>
      </w:r>
      <w:r w:rsidR="006D7D24">
        <w:rPr>
          <w:rFonts w:ascii="Arial" w:hAnsi="Arial" w:cs="Arial"/>
        </w:rPr>
        <w:t xml:space="preserve">cinco </w:t>
      </w:r>
      <w:r w:rsidR="00016A00">
        <w:rPr>
          <w:rFonts w:ascii="Arial" w:hAnsi="Arial" w:cs="Arial"/>
        </w:rPr>
        <w:t xml:space="preserve">(5) </w:t>
      </w:r>
      <w:r w:rsidR="00783669">
        <w:rPr>
          <w:rFonts w:ascii="Arial" w:hAnsi="Arial" w:cs="Arial"/>
        </w:rPr>
        <w:t>tipología</w:t>
      </w:r>
      <w:r w:rsidR="006D7D24">
        <w:rPr>
          <w:rFonts w:ascii="Arial" w:hAnsi="Arial" w:cs="Arial"/>
        </w:rPr>
        <w:t>s</w:t>
      </w:r>
      <w:r w:rsidR="00783669">
        <w:rPr>
          <w:rFonts w:ascii="Arial" w:hAnsi="Arial" w:cs="Arial"/>
        </w:rPr>
        <w:t xml:space="preserve"> con tiempo</w:t>
      </w:r>
      <w:r w:rsidR="006D7D24">
        <w:rPr>
          <w:rFonts w:ascii="Arial" w:hAnsi="Arial" w:cs="Arial"/>
        </w:rPr>
        <w:t>s</w:t>
      </w:r>
      <w:r w:rsidR="00783669">
        <w:rPr>
          <w:rFonts w:ascii="Arial" w:hAnsi="Arial" w:cs="Arial"/>
        </w:rPr>
        <w:t xml:space="preserve"> inoportuno</w:t>
      </w:r>
      <w:r w:rsidR="006D7D24">
        <w:rPr>
          <w:rFonts w:ascii="Arial" w:hAnsi="Arial" w:cs="Arial"/>
        </w:rPr>
        <w:t>s</w:t>
      </w:r>
      <w:r w:rsidR="00783669">
        <w:rPr>
          <w:rFonts w:ascii="Arial" w:hAnsi="Arial" w:cs="Arial"/>
        </w:rPr>
        <w:t>.</w:t>
      </w:r>
    </w:p>
    <w:p w14:paraId="30375CA3" w14:textId="77777777" w:rsidR="00724BB3" w:rsidRDefault="00724BB3" w:rsidP="00724BB3">
      <w:pPr>
        <w:spacing w:after="0" w:line="240" w:lineRule="auto"/>
        <w:jc w:val="both"/>
        <w:rPr>
          <w:rFonts w:ascii="Arial" w:hAnsi="Arial" w:cs="Arial"/>
        </w:rPr>
      </w:pPr>
    </w:p>
    <w:p w14:paraId="56E9B05B" w14:textId="7F0B827A" w:rsidR="00724BB3" w:rsidRDefault="00724BB3" w:rsidP="00724BB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Podemos determinar que las 1</w:t>
      </w:r>
      <w:r w:rsidR="000E4B0C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dependencias o áreas de la entidad que dieron respuesta a las 3</w:t>
      </w:r>
      <w:r w:rsidR="000E4B0C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 PQRSD, emplearon </w:t>
      </w:r>
      <w:r w:rsidR="00D07603">
        <w:rPr>
          <w:rFonts w:ascii="Arial" w:hAnsi="Arial" w:cs="Arial"/>
        </w:rPr>
        <w:t>10,24</w:t>
      </w:r>
      <w:r>
        <w:rPr>
          <w:rFonts w:ascii="Arial" w:hAnsi="Arial" w:cs="Arial"/>
        </w:rPr>
        <w:t xml:space="preserve"> días hábiles, de los 1</w:t>
      </w:r>
      <w:r w:rsidR="00D07603">
        <w:rPr>
          <w:rFonts w:ascii="Arial" w:hAnsi="Arial" w:cs="Arial"/>
        </w:rPr>
        <w:t>3</w:t>
      </w:r>
      <w:r>
        <w:rPr>
          <w:rFonts w:ascii="Arial" w:hAnsi="Arial" w:cs="Arial"/>
        </w:rPr>
        <w:t>,</w:t>
      </w:r>
      <w:r w:rsidR="00D07603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días hábiles promedio máximo que tienen para dar </w:t>
      </w:r>
      <w:r w:rsidR="00583C9B">
        <w:rPr>
          <w:rFonts w:ascii="Arial" w:hAnsi="Arial" w:cs="Arial"/>
        </w:rPr>
        <w:t>solución</w:t>
      </w:r>
      <w:r>
        <w:rPr>
          <w:rFonts w:ascii="Arial" w:hAnsi="Arial" w:cs="Arial"/>
        </w:rPr>
        <w:t xml:space="preserve"> a las mismas. Lo anterior indica que existió un ahorro promedio del </w:t>
      </w:r>
      <w:r w:rsidR="00583C9B">
        <w:rPr>
          <w:rFonts w:ascii="Arial" w:hAnsi="Arial" w:cs="Arial"/>
        </w:rPr>
        <w:t>21,25</w:t>
      </w:r>
      <w:r>
        <w:rPr>
          <w:rFonts w:ascii="Arial" w:hAnsi="Arial" w:cs="Arial"/>
        </w:rPr>
        <w:t>%, en el tiempo de respuesta.</w:t>
      </w:r>
    </w:p>
    <w:p w14:paraId="684678AC" w14:textId="252BF80B" w:rsidR="00724BB3" w:rsidRDefault="00724BB3" w:rsidP="006C0C92">
      <w:pPr>
        <w:spacing w:after="0" w:line="240" w:lineRule="auto"/>
        <w:jc w:val="both"/>
        <w:rPr>
          <w:rFonts w:ascii="Arial" w:hAnsi="Arial" w:cs="Arial"/>
        </w:rPr>
      </w:pPr>
    </w:p>
    <w:p w14:paraId="22D784A8" w14:textId="4108DF86" w:rsidR="006D7D24" w:rsidRDefault="006D7D24" w:rsidP="006C0C92">
      <w:pPr>
        <w:spacing w:after="0" w:line="240" w:lineRule="auto"/>
        <w:jc w:val="both"/>
        <w:rPr>
          <w:rFonts w:ascii="Arial" w:hAnsi="Arial" w:cs="Arial"/>
        </w:rPr>
      </w:pPr>
    </w:p>
    <w:p w14:paraId="0C73DDE4" w14:textId="54142EDF" w:rsidR="006D7D24" w:rsidRDefault="006D7D24" w:rsidP="006C0C92">
      <w:pPr>
        <w:spacing w:after="0" w:line="240" w:lineRule="auto"/>
        <w:jc w:val="both"/>
        <w:rPr>
          <w:rFonts w:ascii="Arial" w:hAnsi="Arial" w:cs="Arial"/>
        </w:rPr>
      </w:pPr>
    </w:p>
    <w:p w14:paraId="2556FFF3" w14:textId="15A5C613" w:rsidR="006D7D24" w:rsidRDefault="006D7D24" w:rsidP="006C0C92">
      <w:pPr>
        <w:spacing w:after="0" w:line="240" w:lineRule="auto"/>
        <w:jc w:val="both"/>
        <w:rPr>
          <w:rFonts w:ascii="Arial" w:hAnsi="Arial" w:cs="Arial"/>
        </w:rPr>
      </w:pPr>
    </w:p>
    <w:p w14:paraId="13AC949B" w14:textId="5ECDBFA5" w:rsidR="006D7D24" w:rsidRDefault="006D7D24" w:rsidP="006C0C9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dTable4Accent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0"/>
        <w:gridCol w:w="851"/>
        <w:gridCol w:w="850"/>
        <w:gridCol w:w="787"/>
        <w:gridCol w:w="899"/>
        <w:gridCol w:w="850"/>
        <w:gridCol w:w="729"/>
      </w:tblGrid>
      <w:tr w:rsidR="006D7D24" w:rsidRPr="00415D0D" w14:paraId="64724327" w14:textId="77777777" w:rsidTr="00A65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</w:tcPr>
          <w:p w14:paraId="0F0F9921" w14:textId="77777777" w:rsidR="006D7D24" w:rsidRPr="00415D0D" w:rsidRDefault="006D7D24" w:rsidP="001D5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lastRenderedPageBreak/>
              <w:t>TABLA No. 2 - TIEMPO PROMEDIO DE RESPUESTA A PQRSD</w:t>
            </w:r>
          </w:p>
        </w:tc>
      </w:tr>
      <w:tr w:rsidR="006D7D24" w:rsidRPr="00415D0D" w14:paraId="4CBEAF72" w14:textId="77777777" w:rsidTr="00A65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noWrap/>
            <w:vAlign w:val="center"/>
            <w:hideMark/>
          </w:tcPr>
          <w:p w14:paraId="0E8729E7" w14:textId="77777777" w:rsidR="006D7D24" w:rsidRPr="003278AB" w:rsidRDefault="006D7D24" w:rsidP="001D5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278A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DEPENDENCIA</w:t>
            </w:r>
          </w:p>
        </w:tc>
        <w:tc>
          <w:tcPr>
            <w:tcW w:w="496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725F4A9F" w14:textId="77777777" w:rsidR="006D7D24" w:rsidRPr="003278AB" w:rsidRDefault="006D7D24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TIPOLOGIA</w:t>
            </w:r>
          </w:p>
        </w:tc>
      </w:tr>
      <w:tr w:rsidR="006D7D24" w:rsidRPr="00415D0D" w14:paraId="790CAB48" w14:textId="77777777" w:rsidTr="00A65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4A5D81A7" w14:textId="77777777" w:rsidR="006D7D24" w:rsidRPr="003278AB" w:rsidRDefault="006D7D24" w:rsidP="001D5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0043CA53" w14:textId="77777777" w:rsidR="006D7D24" w:rsidRPr="003278AB" w:rsidRDefault="006D7D24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278A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DE PETICIÓN DE INTERÉS GENERAL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43B57FC9" w14:textId="77777777" w:rsidR="006D7D24" w:rsidRPr="003278AB" w:rsidRDefault="006D7D24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278A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DERECHO DE PETICIÓN DE INTERÉS PARTICULAR</w:t>
            </w:r>
          </w:p>
        </w:tc>
        <w:tc>
          <w:tcPr>
            <w:tcW w:w="7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24F40D40" w14:textId="77777777" w:rsidR="006D7D24" w:rsidRPr="003278AB" w:rsidRDefault="006D7D24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QUEJA</w:t>
            </w:r>
          </w:p>
        </w:tc>
        <w:tc>
          <w:tcPr>
            <w:tcW w:w="8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</w:tcPr>
          <w:p w14:paraId="41AD2033" w14:textId="77777777" w:rsidR="006D7D24" w:rsidRPr="003278AB" w:rsidRDefault="006D7D24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DE ACCESO A L A INFORMACION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29B9171A" w14:textId="77777777" w:rsidR="006D7D24" w:rsidRPr="003278AB" w:rsidRDefault="006D7D24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278A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SOLICITUD DE COPIA</w:t>
            </w:r>
          </w:p>
        </w:tc>
        <w:tc>
          <w:tcPr>
            <w:tcW w:w="7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btLr"/>
            <w:vAlign w:val="center"/>
            <w:hideMark/>
          </w:tcPr>
          <w:p w14:paraId="3CB7FA5E" w14:textId="77777777" w:rsidR="006D7D24" w:rsidRPr="003278AB" w:rsidRDefault="006D7D24" w:rsidP="001D5E6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3278AB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PROMEDIO X DEPENDENCIA</w:t>
            </w:r>
          </w:p>
        </w:tc>
      </w:tr>
      <w:tr w:rsidR="006D7D24" w:rsidRPr="00415D0D" w14:paraId="194C16A9" w14:textId="77777777" w:rsidTr="00A65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top w:val="single" w:sz="4" w:space="0" w:color="FFFFFF" w:themeColor="background1"/>
            </w:tcBorders>
            <w:vAlign w:val="center"/>
          </w:tcPr>
          <w:p w14:paraId="7613DFC4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gestión corporativa y cid</w:t>
            </w:r>
          </w:p>
        </w:tc>
        <w:tc>
          <w:tcPr>
            <w:tcW w:w="851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737C50B8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FF0000"/>
            <w:noWrap/>
            <w:vAlign w:val="center"/>
          </w:tcPr>
          <w:p w14:paraId="0331A00E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17,00</w:t>
            </w:r>
          </w:p>
        </w:tc>
        <w:tc>
          <w:tcPr>
            <w:tcW w:w="787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1D5DA48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2423C18B" w14:textId="77777777" w:rsidR="006D7D24" w:rsidRPr="00ED04EB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0AC4C39F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729" w:type="dxa"/>
            <w:tcBorders>
              <w:top w:val="single" w:sz="4" w:space="0" w:color="FFFFFF" w:themeColor="background1"/>
            </w:tcBorders>
            <w:noWrap/>
            <w:vAlign w:val="center"/>
          </w:tcPr>
          <w:p w14:paraId="3991613C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17,00</w:t>
            </w:r>
          </w:p>
        </w:tc>
      </w:tr>
      <w:tr w:rsidR="006D7D24" w:rsidRPr="00415D0D" w14:paraId="03C4837B" w14:textId="77777777" w:rsidTr="00A65D3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14:paraId="170E1F66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mejoramiento de barrios</w:t>
            </w:r>
          </w:p>
        </w:tc>
        <w:tc>
          <w:tcPr>
            <w:tcW w:w="851" w:type="dxa"/>
            <w:noWrap/>
            <w:vAlign w:val="center"/>
          </w:tcPr>
          <w:p w14:paraId="13D742E8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4,00</w:t>
            </w:r>
          </w:p>
        </w:tc>
        <w:tc>
          <w:tcPr>
            <w:tcW w:w="850" w:type="dxa"/>
            <w:noWrap/>
            <w:vAlign w:val="center"/>
          </w:tcPr>
          <w:p w14:paraId="442E7042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8,69</w:t>
            </w:r>
          </w:p>
        </w:tc>
        <w:tc>
          <w:tcPr>
            <w:tcW w:w="787" w:type="dxa"/>
            <w:shd w:val="clear" w:color="auto" w:fill="FF0000"/>
            <w:noWrap/>
            <w:vAlign w:val="center"/>
          </w:tcPr>
          <w:p w14:paraId="449573BC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17,00</w:t>
            </w:r>
          </w:p>
        </w:tc>
        <w:tc>
          <w:tcPr>
            <w:tcW w:w="899" w:type="dxa"/>
            <w:noWrap/>
            <w:vAlign w:val="center"/>
          </w:tcPr>
          <w:p w14:paraId="3485D262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0CE4C056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729" w:type="dxa"/>
            <w:noWrap/>
            <w:vAlign w:val="center"/>
          </w:tcPr>
          <w:p w14:paraId="3EB368B3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9,90</w:t>
            </w:r>
          </w:p>
        </w:tc>
      </w:tr>
      <w:tr w:rsidR="006D7D24" w:rsidRPr="00415D0D" w14:paraId="21249E9F" w14:textId="77777777" w:rsidTr="00A65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14:paraId="24F4C11B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mejoramiento de vivienda</w:t>
            </w:r>
          </w:p>
        </w:tc>
        <w:tc>
          <w:tcPr>
            <w:tcW w:w="851" w:type="dxa"/>
            <w:noWrap/>
            <w:vAlign w:val="center"/>
          </w:tcPr>
          <w:p w14:paraId="5CA0DDDB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226C0B7A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7,95</w:t>
            </w:r>
          </w:p>
        </w:tc>
        <w:tc>
          <w:tcPr>
            <w:tcW w:w="787" w:type="dxa"/>
            <w:noWrap/>
            <w:vAlign w:val="center"/>
          </w:tcPr>
          <w:p w14:paraId="260116E5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noWrap/>
            <w:vAlign w:val="center"/>
          </w:tcPr>
          <w:p w14:paraId="12D82549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850" w:type="dxa"/>
            <w:noWrap/>
            <w:vAlign w:val="center"/>
          </w:tcPr>
          <w:p w14:paraId="091B300C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7,50</w:t>
            </w:r>
          </w:p>
        </w:tc>
        <w:tc>
          <w:tcPr>
            <w:tcW w:w="729" w:type="dxa"/>
            <w:noWrap/>
            <w:vAlign w:val="center"/>
          </w:tcPr>
          <w:p w14:paraId="730EFD9E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7,48</w:t>
            </w:r>
          </w:p>
        </w:tc>
      </w:tr>
      <w:tr w:rsidR="006D7D24" w:rsidRPr="00415D0D" w14:paraId="6B9CD17D" w14:textId="77777777" w:rsidTr="00A65D3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14E5F5EF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reasentamientos humanos</w:t>
            </w:r>
          </w:p>
        </w:tc>
        <w:tc>
          <w:tcPr>
            <w:tcW w:w="851" w:type="dxa"/>
            <w:noWrap/>
            <w:vAlign w:val="center"/>
          </w:tcPr>
          <w:p w14:paraId="55187FD4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11,50</w:t>
            </w:r>
          </w:p>
        </w:tc>
        <w:tc>
          <w:tcPr>
            <w:tcW w:w="850" w:type="dxa"/>
            <w:noWrap/>
            <w:vAlign w:val="center"/>
          </w:tcPr>
          <w:p w14:paraId="27ECD616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10,77</w:t>
            </w:r>
          </w:p>
        </w:tc>
        <w:tc>
          <w:tcPr>
            <w:tcW w:w="787" w:type="dxa"/>
            <w:noWrap/>
            <w:vAlign w:val="center"/>
          </w:tcPr>
          <w:p w14:paraId="43DDDD50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noWrap/>
            <w:vAlign w:val="center"/>
          </w:tcPr>
          <w:p w14:paraId="31801F4E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0000"/>
            <w:noWrap/>
            <w:vAlign w:val="center"/>
          </w:tcPr>
          <w:p w14:paraId="1B3DB3A1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10,50</w:t>
            </w:r>
          </w:p>
        </w:tc>
        <w:tc>
          <w:tcPr>
            <w:tcW w:w="729" w:type="dxa"/>
            <w:noWrap/>
            <w:vAlign w:val="center"/>
          </w:tcPr>
          <w:p w14:paraId="2920D51F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10,92</w:t>
            </w:r>
          </w:p>
        </w:tc>
      </w:tr>
      <w:tr w:rsidR="006D7D24" w:rsidRPr="00415D0D" w14:paraId="2AD20727" w14:textId="77777777" w:rsidTr="00A65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14:paraId="7A1D9055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de urbanizaciones y titulación</w:t>
            </w:r>
          </w:p>
        </w:tc>
        <w:tc>
          <w:tcPr>
            <w:tcW w:w="851" w:type="dxa"/>
            <w:shd w:val="clear" w:color="auto" w:fill="FF0000"/>
            <w:noWrap/>
            <w:vAlign w:val="center"/>
          </w:tcPr>
          <w:p w14:paraId="5B370AAF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23,00</w:t>
            </w:r>
          </w:p>
        </w:tc>
        <w:tc>
          <w:tcPr>
            <w:tcW w:w="850" w:type="dxa"/>
            <w:noWrap/>
            <w:vAlign w:val="center"/>
          </w:tcPr>
          <w:p w14:paraId="69A1B483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12,92</w:t>
            </w:r>
          </w:p>
        </w:tc>
        <w:tc>
          <w:tcPr>
            <w:tcW w:w="787" w:type="dxa"/>
            <w:noWrap/>
            <w:vAlign w:val="center"/>
          </w:tcPr>
          <w:p w14:paraId="7B96F6BA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shd w:val="clear" w:color="auto" w:fill="FF0000"/>
            <w:noWrap/>
            <w:vAlign w:val="center"/>
          </w:tcPr>
          <w:p w14:paraId="69844869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13,00</w:t>
            </w:r>
          </w:p>
        </w:tc>
        <w:tc>
          <w:tcPr>
            <w:tcW w:w="850" w:type="dxa"/>
            <w:noWrap/>
            <w:vAlign w:val="center"/>
          </w:tcPr>
          <w:p w14:paraId="12DAD451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7,11</w:t>
            </w:r>
          </w:p>
        </w:tc>
        <w:tc>
          <w:tcPr>
            <w:tcW w:w="729" w:type="dxa"/>
            <w:noWrap/>
            <w:vAlign w:val="center"/>
          </w:tcPr>
          <w:p w14:paraId="700FD7AD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14,01</w:t>
            </w:r>
          </w:p>
        </w:tc>
      </w:tr>
      <w:tr w:rsidR="006D7D24" w:rsidRPr="00415D0D" w14:paraId="1926B3F4" w14:textId="77777777" w:rsidTr="00A65D3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14:paraId="56692E05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Oficina TIC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C176144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47FB3350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787" w:type="dxa"/>
            <w:noWrap/>
            <w:vAlign w:val="center"/>
          </w:tcPr>
          <w:p w14:paraId="0AEC5417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noWrap/>
            <w:vAlign w:val="center"/>
          </w:tcPr>
          <w:p w14:paraId="2762A989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1,00</w:t>
            </w:r>
          </w:p>
        </w:tc>
        <w:tc>
          <w:tcPr>
            <w:tcW w:w="850" w:type="dxa"/>
            <w:noWrap/>
            <w:vAlign w:val="center"/>
          </w:tcPr>
          <w:p w14:paraId="0F0EA292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729" w:type="dxa"/>
            <w:noWrap/>
            <w:vAlign w:val="center"/>
          </w:tcPr>
          <w:p w14:paraId="3F7F7E8D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1,00</w:t>
            </w:r>
          </w:p>
        </w:tc>
      </w:tr>
      <w:tr w:rsidR="006D7D24" w:rsidRPr="00415D0D" w14:paraId="6A2B1EAD" w14:textId="77777777" w:rsidTr="00A65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14:paraId="7CD24B1D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Sub dirección administrativa</w:t>
            </w:r>
          </w:p>
        </w:tc>
        <w:tc>
          <w:tcPr>
            <w:tcW w:w="851" w:type="dxa"/>
            <w:noWrap/>
            <w:vAlign w:val="center"/>
          </w:tcPr>
          <w:p w14:paraId="2A988F92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39C8AD94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11,50</w:t>
            </w:r>
          </w:p>
        </w:tc>
        <w:tc>
          <w:tcPr>
            <w:tcW w:w="787" w:type="dxa"/>
            <w:noWrap/>
            <w:vAlign w:val="center"/>
          </w:tcPr>
          <w:p w14:paraId="62B7E2ED" w14:textId="77777777" w:rsidR="006D7D24" w:rsidRPr="00035815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noWrap/>
            <w:vAlign w:val="center"/>
          </w:tcPr>
          <w:p w14:paraId="438987F9" w14:textId="77777777" w:rsidR="006D7D24" w:rsidRPr="00035815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0E322830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729" w:type="dxa"/>
            <w:noWrap/>
            <w:vAlign w:val="center"/>
          </w:tcPr>
          <w:p w14:paraId="353C6CEA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11,50</w:t>
            </w:r>
          </w:p>
        </w:tc>
      </w:tr>
      <w:tr w:rsidR="006D7D24" w:rsidRPr="00415D0D" w14:paraId="731EDCD2" w14:textId="77777777" w:rsidTr="00A65D3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14:paraId="1344D29A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Sub dirección financiera</w:t>
            </w:r>
          </w:p>
        </w:tc>
        <w:tc>
          <w:tcPr>
            <w:tcW w:w="851" w:type="dxa"/>
            <w:noWrap/>
            <w:vAlign w:val="center"/>
          </w:tcPr>
          <w:p w14:paraId="52502C2B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68BB5FBC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6,27</w:t>
            </w:r>
          </w:p>
        </w:tc>
        <w:tc>
          <w:tcPr>
            <w:tcW w:w="787" w:type="dxa"/>
            <w:noWrap/>
            <w:vAlign w:val="center"/>
          </w:tcPr>
          <w:p w14:paraId="7754A1A2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noWrap/>
            <w:vAlign w:val="center"/>
          </w:tcPr>
          <w:p w14:paraId="04C9CB1A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4C8152AD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729" w:type="dxa"/>
            <w:noWrap/>
            <w:vAlign w:val="center"/>
          </w:tcPr>
          <w:p w14:paraId="184D9376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6,27</w:t>
            </w:r>
          </w:p>
        </w:tc>
      </w:tr>
      <w:tr w:rsidR="006D7D24" w:rsidRPr="00415D0D" w14:paraId="1D46CEDF" w14:textId="77777777" w:rsidTr="00A65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</w:tcPr>
          <w:p w14:paraId="020A6505" w14:textId="77777777" w:rsidR="006D7D24" w:rsidRPr="00415D0D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Dirección General</w:t>
            </w:r>
          </w:p>
        </w:tc>
        <w:tc>
          <w:tcPr>
            <w:tcW w:w="851" w:type="dxa"/>
            <w:noWrap/>
            <w:vAlign w:val="center"/>
          </w:tcPr>
          <w:p w14:paraId="63D226B0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10231EC9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7,80</w:t>
            </w:r>
          </w:p>
        </w:tc>
        <w:tc>
          <w:tcPr>
            <w:tcW w:w="787" w:type="dxa"/>
            <w:noWrap/>
            <w:vAlign w:val="center"/>
          </w:tcPr>
          <w:p w14:paraId="2E60BE44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noWrap/>
            <w:vAlign w:val="center"/>
          </w:tcPr>
          <w:p w14:paraId="507007DA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74EA052B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729" w:type="dxa"/>
            <w:noWrap/>
            <w:vAlign w:val="center"/>
          </w:tcPr>
          <w:p w14:paraId="50D52DB1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7,80</w:t>
            </w:r>
          </w:p>
        </w:tc>
      </w:tr>
      <w:tr w:rsidR="006D7D24" w:rsidRPr="00415D0D" w14:paraId="567BE56F" w14:textId="77777777" w:rsidTr="00A65D3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14:paraId="407B063F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</w:pPr>
            <w:r w:rsidRPr="00415D0D">
              <w:rPr>
                <w:rFonts w:ascii="Arial" w:eastAsia="Times New Roman" w:hAnsi="Arial" w:cs="Arial"/>
                <w:b w:val="0"/>
                <w:color w:val="000000"/>
                <w:sz w:val="20"/>
                <w:szCs w:val="20"/>
                <w:lang w:eastAsia="es-CO"/>
              </w:rPr>
              <w:t xml:space="preserve">Dirección </w:t>
            </w:r>
            <w:r w:rsidRPr="00BB1B52">
              <w:rPr>
                <w:rFonts w:ascii="Arial" w:eastAsia="Times New Roman" w:hAnsi="Arial" w:cs="Arial"/>
                <w:b w:val="0"/>
                <w:sz w:val="20"/>
                <w:szCs w:val="20"/>
                <w:lang w:eastAsia="es-CO"/>
              </w:rPr>
              <w:t>jurídica</w:t>
            </w:r>
          </w:p>
        </w:tc>
        <w:tc>
          <w:tcPr>
            <w:tcW w:w="851" w:type="dxa"/>
            <w:noWrap/>
            <w:vAlign w:val="center"/>
          </w:tcPr>
          <w:p w14:paraId="4AAB726E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2E51D41B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  <w:t>10,00</w:t>
            </w:r>
          </w:p>
        </w:tc>
        <w:tc>
          <w:tcPr>
            <w:tcW w:w="787" w:type="dxa"/>
            <w:noWrap/>
            <w:vAlign w:val="center"/>
          </w:tcPr>
          <w:p w14:paraId="1442EA1A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99" w:type="dxa"/>
            <w:noWrap/>
            <w:vAlign w:val="center"/>
          </w:tcPr>
          <w:p w14:paraId="661B9633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noWrap/>
            <w:vAlign w:val="center"/>
          </w:tcPr>
          <w:p w14:paraId="4B5E098E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s-CO"/>
              </w:rPr>
            </w:pPr>
          </w:p>
        </w:tc>
        <w:tc>
          <w:tcPr>
            <w:tcW w:w="729" w:type="dxa"/>
            <w:noWrap/>
            <w:vAlign w:val="center"/>
          </w:tcPr>
          <w:p w14:paraId="71A15D0E" w14:textId="77777777" w:rsidR="006D7D24" w:rsidRPr="002A7F11" w:rsidRDefault="006D7D24" w:rsidP="001D5E6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10,00</w:t>
            </w:r>
          </w:p>
        </w:tc>
      </w:tr>
      <w:tr w:rsidR="006D7D24" w:rsidRPr="00415D0D" w14:paraId="44E9E565" w14:textId="77777777" w:rsidTr="00A65D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center"/>
            <w:hideMark/>
          </w:tcPr>
          <w:p w14:paraId="6A1DBD32" w14:textId="77777777" w:rsidR="006D7D24" w:rsidRPr="003278AB" w:rsidRDefault="006D7D24" w:rsidP="001D5E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27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851" w:type="dxa"/>
            <w:noWrap/>
            <w:vAlign w:val="center"/>
          </w:tcPr>
          <w:p w14:paraId="11F01A42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12,83</w:t>
            </w:r>
          </w:p>
        </w:tc>
        <w:tc>
          <w:tcPr>
            <w:tcW w:w="850" w:type="dxa"/>
            <w:noWrap/>
            <w:vAlign w:val="center"/>
          </w:tcPr>
          <w:p w14:paraId="432C0974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10,32</w:t>
            </w:r>
          </w:p>
        </w:tc>
        <w:tc>
          <w:tcPr>
            <w:tcW w:w="787" w:type="dxa"/>
            <w:shd w:val="clear" w:color="auto" w:fill="FF0000"/>
            <w:noWrap/>
            <w:vAlign w:val="center"/>
          </w:tcPr>
          <w:p w14:paraId="0B7378D1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17,00</w:t>
            </w:r>
          </w:p>
        </w:tc>
        <w:tc>
          <w:tcPr>
            <w:tcW w:w="899" w:type="dxa"/>
            <w:noWrap/>
            <w:vAlign w:val="center"/>
          </w:tcPr>
          <w:p w14:paraId="67EE9CF3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7,00</w:t>
            </w:r>
          </w:p>
        </w:tc>
        <w:tc>
          <w:tcPr>
            <w:tcW w:w="850" w:type="dxa"/>
            <w:noWrap/>
            <w:vAlign w:val="center"/>
          </w:tcPr>
          <w:p w14:paraId="48080ADE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8,37</w:t>
            </w:r>
          </w:p>
        </w:tc>
        <w:tc>
          <w:tcPr>
            <w:tcW w:w="729" w:type="dxa"/>
            <w:noWrap/>
            <w:vAlign w:val="center"/>
          </w:tcPr>
          <w:p w14:paraId="7795B266" w14:textId="77777777" w:rsidR="006D7D24" w:rsidRPr="002A7F11" w:rsidRDefault="006D7D24" w:rsidP="001D5E6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es-CO"/>
              </w:rPr>
              <w:t>10,24</w:t>
            </w:r>
          </w:p>
        </w:tc>
      </w:tr>
    </w:tbl>
    <w:p w14:paraId="6C162BE4" w14:textId="57587A31" w:rsidR="001F44C8" w:rsidRPr="007E2536" w:rsidRDefault="001F44C8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ED504C">
        <w:rPr>
          <w:rFonts w:ascii="Arial" w:hAnsi="Arial" w:cs="Arial"/>
          <w:color w:val="000000" w:themeColor="text1"/>
          <w:sz w:val="18"/>
          <w:szCs w:val="18"/>
        </w:rPr>
        <w:t>5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Tiempo promedio de respuesta de la dependencia por tipología </w:t>
      </w:r>
    </w:p>
    <w:p w14:paraId="6B818B27" w14:textId="63C45186" w:rsidR="00525068" w:rsidRPr="007E2536" w:rsidRDefault="00BF0CB5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0780BAA8" w14:textId="77777777" w:rsidR="00DC0305" w:rsidRDefault="00DC0305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C9294C" w14:textId="77777777" w:rsidR="009B0119" w:rsidRDefault="009B0119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30421A6F" w14:textId="77777777" w:rsidR="009B0119" w:rsidRDefault="009B0119" w:rsidP="00986D26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CFB95A" w14:textId="22B8FBCD" w:rsidR="00525068" w:rsidRDefault="00525068" w:rsidP="00CB05A2">
      <w:pPr>
        <w:pStyle w:val="Prrafodelista"/>
        <w:numPr>
          <w:ilvl w:val="0"/>
          <w:numId w:val="6"/>
        </w:numPr>
        <w:spacing w:after="0" w:line="240" w:lineRule="auto"/>
        <w:ind w:left="426"/>
        <w:rPr>
          <w:rFonts w:ascii="Arial" w:hAnsi="Arial" w:cs="Arial"/>
          <w:b/>
          <w:noProof/>
          <w:lang w:val="es-ES" w:eastAsia="es-ES"/>
        </w:rPr>
      </w:pPr>
      <w:r>
        <w:rPr>
          <w:rFonts w:ascii="Arial" w:hAnsi="Arial" w:cs="Arial"/>
          <w:b/>
          <w:noProof/>
          <w:lang w:val="es-ES" w:eastAsia="es-ES"/>
        </w:rPr>
        <w:lastRenderedPageBreak/>
        <w:t>PARTICIPACIÓN POR LOCALIDAD</w:t>
      </w:r>
    </w:p>
    <w:p w14:paraId="1396FEC8" w14:textId="77777777" w:rsidR="00525068" w:rsidRDefault="00525068" w:rsidP="00525068">
      <w:pPr>
        <w:pStyle w:val="Prrafodelista"/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2DA0A358" w14:textId="0EDE5DC6" w:rsidR="00525068" w:rsidRPr="00D93542" w:rsidRDefault="001D5E62" w:rsidP="00BC23CF">
      <w:pPr>
        <w:pStyle w:val="Prrafodelista"/>
        <w:spacing w:after="0" w:line="240" w:lineRule="auto"/>
        <w:ind w:left="0"/>
        <w:jc w:val="both"/>
        <w:rPr>
          <w:rFonts w:ascii="Arial" w:hAnsi="Arial" w:cs="Arial"/>
          <w:noProof/>
          <w:lang w:val="es-ES" w:eastAsia="es-ES"/>
        </w:rPr>
      </w:pPr>
      <w:r w:rsidRPr="00D93542">
        <w:rPr>
          <w:rFonts w:ascii="Arial" w:hAnsi="Arial" w:cs="Arial"/>
          <w:noProof/>
          <w:lang w:val="es-ES" w:eastAsia="es-ES"/>
        </w:rPr>
        <w:t xml:space="preserve">La localidad que más </w:t>
      </w:r>
      <w:r w:rsidR="00D93542" w:rsidRPr="00D93542">
        <w:rPr>
          <w:rFonts w:ascii="Arial" w:hAnsi="Arial" w:cs="Arial"/>
          <w:noProof/>
          <w:lang w:val="es-ES" w:eastAsia="es-ES"/>
        </w:rPr>
        <w:t>solicitud de PQRSD interpuso ante la Caja de la Vivienda Popular durante el mes de Agosto fue la de Ciudad Bolivar, con un 20,85%</w:t>
      </w:r>
      <w:r w:rsidR="00D93542">
        <w:rPr>
          <w:rFonts w:ascii="Arial" w:hAnsi="Arial" w:cs="Arial"/>
          <w:noProof/>
          <w:lang w:val="es-ES" w:eastAsia="es-ES"/>
        </w:rPr>
        <w:t xml:space="preserve"> (59), seguida por la localidad de Rafael Uribe Uribe con un </w:t>
      </w:r>
      <w:r w:rsidR="00D93542" w:rsidRPr="00D93542">
        <w:rPr>
          <w:rFonts w:ascii="Arial" w:hAnsi="Arial" w:cs="Arial"/>
          <w:noProof/>
          <w:lang w:val="es-ES" w:eastAsia="es-ES"/>
        </w:rPr>
        <w:t>4,59</w:t>
      </w:r>
      <w:r w:rsidR="00D93542">
        <w:rPr>
          <w:rFonts w:ascii="Arial" w:hAnsi="Arial" w:cs="Arial"/>
          <w:noProof/>
          <w:lang w:val="es-ES" w:eastAsia="es-ES"/>
        </w:rPr>
        <w:t>% (13)</w:t>
      </w:r>
      <w:r w:rsidR="005A3975">
        <w:rPr>
          <w:rFonts w:ascii="Arial" w:hAnsi="Arial" w:cs="Arial"/>
          <w:noProof/>
          <w:lang w:val="es-ES" w:eastAsia="es-ES"/>
        </w:rPr>
        <w:t>.</w:t>
      </w:r>
    </w:p>
    <w:p w14:paraId="546EF06C" w14:textId="77777777" w:rsidR="00525068" w:rsidRDefault="00525068" w:rsidP="00525068">
      <w:pPr>
        <w:pStyle w:val="Prrafodelista"/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3F0A310E" w14:textId="7019F2DC" w:rsidR="00525068" w:rsidRDefault="00525068" w:rsidP="005A3975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2E86DF5A" wp14:editId="76F3025E">
            <wp:extent cx="5935980" cy="3872230"/>
            <wp:effectExtent l="0" t="0" r="7620" b="1397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D54307F" w14:textId="26AAFFF9" w:rsidR="009B0119" w:rsidRPr="007E2536" w:rsidRDefault="009B0119" w:rsidP="009B01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>
        <w:rPr>
          <w:rFonts w:ascii="Arial" w:hAnsi="Arial" w:cs="Arial"/>
          <w:color w:val="000000" w:themeColor="text1"/>
          <w:sz w:val="18"/>
          <w:szCs w:val="18"/>
        </w:rPr>
        <w:t>4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PQRSD por </w:t>
      </w:r>
      <w:r>
        <w:rPr>
          <w:rFonts w:ascii="Arial" w:hAnsi="Arial" w:cs="Arial"/>
          <w:color w:val="000000" w:themeColor="text1"/>
          <w:sz w:val="18"/>
          <w:szCs w:val="18"/>
        </w:rPr>
        <w:t>Estrato</w:t>
      </w:r>
    </w:p>
    <w:p w14:paraId="61D5465C" w14:textId="77777777" w:rsidR="009B0119" w:rsidRPr="007E2536" w:rsidRDefault="009B0119" w:rsidP="009B0119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46C74A93" w14:textId="77777777" w:rsidR="00525068" w:rsidRPr="009B0119" w:rsidRDefault="00525068" w:rsidP="0052506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eastAsia="es-ES"/>
        </w:rPr>
      </w:pPr>
    </w:p>
    <w:p w14:paraId="5763F55F" w14:textId="77777777" w:rsidR="009B0119" w:rsidRDefault="009B0119" w:rsidP="00525068">
      <w:pPr>
        <w:pStyle w:val="Prrafodelista"/>
        <w:spacing w:after="0" w:line="240" w:lineRule="auto"/>
        <w:jc w:val="both"/>
        <w:rPr>
          <w:rFonts w:ascii="Arial" w:hAnsi="Arial" w:cs="Arial"/>
          <w:b/>
          <w:noProof/>
          <w:lang w:val="es-ES" w:eastAsia="es-ES"/>
        </w:rPr>
      </w:pPr>
    </w:p>
    <w:p w14:paraId="7683E10B" w14:textId="3BC7C20E" w:rsidR="00C53E13" w:rsidRPr="00C53E13" w:rsidRDefault="00C53E13" w:rsidP="005A3975">
      <w:pPr>
        <w:pStyle w:val="Prrafodelista"/>
        <w:numPr>
          <w:ilvl w:val="0"/>
          <w:numId w:val="6"/>
        </w:numPr>
        <w:spacing w:after="0" w:line="240" w:lineRule="auto"/>
        <w:ind w:left="567"/>
        <w:rPr>
          <w:rFonts w:ascii="Arial" w:hAnsi="Arial" w:cs="Arial"/>
          <w:b/>
          <w:noProof/>
          <w:lang w:val="es-ES" w:eastAsia="es-ES"/>
        </w:rPr>
      </w:pPr>
      <w:r w:rsidRPr="00C53E13">
        <w:rPr>
          <w:rFonts w:ascii="Arial" w:hAnsi="Arial" w:cs="Arial"/>
          <w:b/>
          <w:noProof/>
          <w:lang w:val="es-ES" w:eastAsia="es-ES"/>
        </w:rPr>
        <w:t>PARTICIPACIÓN POR ESTRATO SOCIOECONOMICO</w:t>
      </w:r>
    </w:p>
    <w:p w14:paraId="1439C01B" w14:textId="77777777" w:rsidR="00C53E13" w:rsidRDefault="00C53E13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0525579C" w14:textId="2E764CFC" w:rsidR="00DC0305" w:rsidRPr="007E2536" w:rsidRDefault="00C53E13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noProof/>
          <w:lang w:val="es-ES" w:eastAsia="es-ES"/>
        </w:rPr>
        <w:t>Dentro de la informacion reportada la gran mayoria de los ciudadanos no registraron su estrato socioeconomico en las PQRSD. Sin embargo, la personas que consignaron la información, pertenecen al estrato 1 y 2</w:t>
      </w:r>
      <w:r w:rsidR="00237FE8">
        <w:rPr>
          <w:rFonts w:ascii="Arial" w:hAnsi="Arial" w:cs="Arial"/>
          <w:noProof/>
          <w:lang w:val="es-ES" w:eastAsia="es-ES"/>
        </w:rPr>
        <w:t>.</w:t>
      </w:r>
      <w:r w:rsidR="00237FE8" w:rsidRPr="00237FE8">
        <w:rPr>
          <w:rFonts w:ascii="Arial" w:hAnsi="Arial" w:cs="Arial"/>
          <w:noProof/>
          <w:lang w:val="es-ES" w:eastAsia="es-ES"/>
        </w:rPr>
        <w:t xml:space="preserve"> </w:t>
      </w:r>
      <w:r w:rsidR="00237FE8">
        <w:rPr>
          <w:rFonts w:ascii="Arial" w:hAnsi="Arial" w:cs="Arial"/>
          <w:noProof/>
          <w:lang w:val="es-ES" w:eastAsia="es-ES"/>
        </w:rPr>
        <w:t>Algo que es acorde a la m</w:t>
      </w:r>
      <w:r w:rsidR="00237FE8" w:rsidRPr="00C908B0">
        <w:rPr>
          <w:rFonts w:ascii="Arial" w:hAnsi="Arial" w:cs="Arial"/>
          <w:noProof/>
          <w:lang w:val="es-ES" w:eastAsia="es-ES"/>
        </w:rPr>
        <w:t>isionalidad de la entidad</w:t>
      </w:r>
      <w:r w:rsidR="00237FE8">
        <w:rPr>
          <w:rFonts w:ascii="Arial" w:hAnsi="Arial" w:cs="Arial"/>
          <w:noProof/>
          <w:lang w:val="es-ES" w:eastAsia="es-ES"/>
        </w:rPr>
        <w:t>.</w:t>
      </w:r>
    </w:p>
    <w:p w14:paraId="049EA749" w14:textId="77777777" w:rsidR="00DC0305" w:rsidRPr="007E2536" w:rsidRDefault="00DC0305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4EE02F4" w14:textId="69F449F1" w:rsidR="009B0119" w:rsidRPr="007E2536" w:rsidRDefault="009B0119" w:rsidP="009B0119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43007781" wp14:editId="0D12B2C9">
            <wp:extent cx="5905500" cy="2581275"/>
            <wp:effectExtent l="0" t="0" r="0" b="952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36CD802" w14:textId="0E716FFB" w:rsidR="00007FED" w:rsidRPr="007E2536" w:rsidRDefault="00007FED" w:rsidP="00007FE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 w:rsidR="00ED504C">
        <w:rPr>
          <w:rFonts w:ascii="Arial" w:hAnsi="Arial" w:cs="Arial"/>
          <w:color w:val="000000" w:themeColor="text1"/>
          <w:sz w:val="18"/>
          <w:szCs w:val="18"/>
        </w:rPr>
        <w:t>5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. PQRSD por </w:t>
      </w:r>
      <w:r>
        <w:rPr>
          <w:rFonts w:ascii="Arial" w:hAnsi="Arial" w:cs="Arial"/>
          <w:color w:val="000000" w:themeColor="text1"/>
          <w:sz w:val="18"/>
          <w:szCs w:val="18"/>
        </w:rPr>
        <w:t>Estrato</w:t>
      </w:r>
    </w:p>
    <w:p w14:paraId="61A7C05B" w14:textId="5A701C98" w:rsidR="00007FED" w:rsidRPr="007E2536" w:rsidRDefault="00007FED" w:rsidP="00007FED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525068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525068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525068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1B3A011B" w14:textId="77777777" w:rsidR="002C6633" w:rsidRPr="00007FED" w:rsidRDefault="002C6633" w:rsidP="00986D26">
      <w:pPr>
        <w:pStyle w:val="Prrafodelista"/>
        <w:spacing w:after="0" w:line="240" w:lineRule="auto"/>
        <w:ind w:left="567"/>
        <w:rPr>
          <w:rFonts w:ascii="Arial" w:hAnsi="Arial" w:cs="Arial"/>
          <w:b/>
          <w:noProof/>
          <w:lang w:eastAsia="es-ES"/>
        </w:rPr>
      </w:pPr>
    </w:p>
    <w:p w14:paraId="485A6E17" w14:textId="77777777" w:rsidR="00BF0CB5" w:rsidRPr="007E2536" w:rsidRDefault="00BF0CB5" w:rsidP="00986D26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381BA7E0" w14:textId="07CF0ADF" w:rsidR="00A84DF9" w:rsidRPr="007E2536" w:rsidRDefault="00A84DF9" w:rsidP="00963A5A">
      <w:pPr>
        <w:pStyle w:val="Prrafodelista"/>
        <w:numPr>
          <w:ilvl w:val="0"/>
          <w:numId w:val="6"/>
        </w:numPr>
        <w:spacing w:after="0" w:line="240" w:lineRule="auto"/>
        <w:ind w:left="567"/>
        <w:rPr>
          <w:rFonts w:ascii="Arial" w:hAnsi="Arial" w:cs="Arial"/>
          <w:b/>
          <w:noProof/>
          <w:lang w:val="es-ES" w:eastAsia="es-ES"/>
        </w:rPr>
      </w:pPr>
      <w:r w:rsidRPr="007E2536">
        <w:rPr>
          <w:rFonts w:ascii="Arial" w:hAnsi="Arial" w:cs="Arial"/>
          <w:b/>
          <w:noProof/>
          <w:lang w:val="es-ES" w:eastAsia="es-ES"/>
        </w:rPr>
        <w:t>TIPO DE REQUIRIENTE</w:t>
      </w:r>
    </w:p>
    <w:p w14:paraId="1804049C" w14:textId="03C96C1F" w:rsidR="00A84DF9" w:rsidRDefault="00A84DF9" w:rsidP="00986D26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25D243FC" w14:textId="5F1AF90D" w:rsidR="0016619D" w:rsidRPr="0055321A" w:rsidRDefault="0016619D" w:rsidP="0016619D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>
        <w:rPr>
          <w:rFonts w:ascii="Arial" w:hAnsi="Arial" w:cs="Arial"/>
          <w:noProof/>
          <w:lang w:val="es-ES" w:eastAsia="es-ES"/>
        </w:rPr>
        <w:t>De las 28</w:t>
      </w:r>
      <w:r w:rsidR="005434A4">
        <w:rPr>
          <w:rFonts w:ascii="Arial" w:hAnsi="Arial" w:cs="Arial"/>
          <w:noProof/>
          <w:lang w:val="es-ES" w:eastAsia="es-ES"/>
        </w:rPr>
        <w:t>3</w:t>
      </w:r>
      <w:r>
        <w:rPr>
          <w:rFonts w:ascii="Arial" w:hAnsi="Arial" w:cs="Arial"/>
          <w:noProof/>
          <w:lang w:val="es-ES" w:eastAsia="es-ES"/>
        </w:rPr>
        <w:t xml:space="preserve"> PQRSD interpuestas ante la CVP</w:t>
      </w:r>
      <w:r w:rsidRPr="00592C7E">
        <w:rPr>
          <w:rFonts w:ascii="Arial" w:hAnsi="Arial" w:cs="Arial"/>
          <w:noProof/>
          <w:color w:val="000000" w:themeColor="text1"/>
          <w:lang w:val="es-ES" w:eastAsia="es-ES"/>
        </w:rPr>
        <w:t xml:space="preserve">, el </w:t>
      </w:r>
      <w:r w:rsidR="00592C7E" w:rsidRPr="00592C7E">
        <w:rPr>
          <w:rFonts w:ascii="Arial" w:hAnsi="Arial" w:cs="Arial"/>
          <w:noProof/>
          <w:color w:val="000000" w:themeColor="text1"/>
          <w:lang w:val="es-ES" w:eastAsia="es-ES"/>
        </w:rPr>
        <w:t>96,1</w:t>
      </w:r>
      <w:r w:rsidR="00DB4481">
        <w:rPr>
          <w:rFonts w:ascii="Arial" w:hAnsi="Arial" w:cs="Arial"/>
          <w:noProof/>
          <w:color w:val="000000" w:themeColor="text1"/>
          <w:lang w:val="es-ES" w:eastAsia="es-ES"/>
        </w:rPr>
        <w:t>1</w:t>
      </w:r>
      <w:r w:rsidR="00F849DC" w:rsidRPr="00592C7E">
        <w:rPr>
          <w:rFonts w:ascii="Arial" w:hAnsi="Arial" w:cs="Arial"/>
          <w:noProof/>
          <w:color w:val="000000" w:themeColor="text1"/>
          <w:lang w:val="es-ES" w:eastAsia="es-ES"/>
        </w:rPr>
        <w:t>% (27</w:t>
      </w:r>
      <w:r w:rsidR="00592C7E">
        <w:rPr>
          <w:rFonts w:ascii="Arial" w:hAnsi="Arial" w:cs="Arial"/>
          <w:noProof/>
          <w:color w:val="000000" w:themeColor="text1"/>
          <w:lang w:val="es-ES" w:eastAsia="es-ES"/>
        </w:rPr>
        <w:t>2</w:t>
      </w:r>
      <w:r w:rsidR="00F849DC" w:rsidRPr="00592C7E">
        <w:rPr>
          <w:rFonts w:ascii="Arial" w:hAnsi="Arial" w:cs="Arial"/>
          <w:noProof/>
          <w:color w:val="000000" w:themeColor="text1"/>
          <w:lang w:val="es-ES" w:eastAsia="es-ES"/>
        </w:rPr>
        <w:t xml:space="preserve">) </w:t>
      </w:r>
      <w:r w:rsidRPr="00592C7E">
        <w:rPr>
          <w:rFonts w:ascii="Arial" w:hAnsi="Arial" w:cs="Arial"/>
          <w:noProof/>
          <w:color w:val="000000" w:themeColor="text1"/>
          <w:lang w:val="es-ES" w:eastAsia="es-ES"/>
        </w:rPr>
        <w:t xml:space="preserve">son personas naturales, </w:t>
      </w:r>
      <w:r w:rsidR="00DB4481">
        <w:rPr>
          <w:rFonts w:ascii="Arial" w:hAnsi="Arial" w:cs="Arial"/>
          <w:noProof/>
          <w:color w:val="000000" w:themeColor="text1"/>
          <w:lang w:val="es-ES" w:eastAsia="es-ES"/>
        </w:rPr>
        <w:t xml:space="preserve">seguido por las Personas Juridicas con </w:t>
      </w:r>
      <w:r w:rsidRPr="00592C7E">
        <w:rPr>
          <w:rFonts w:ascii="Arial" w:hAnsi="Arial" w:cs="Arial"/>
          <w:noProof/>
          <w:color w:val="000000" w:themeColor="text1"/>
          <w:lang w:val="es-ES" w:eastAsia="es-ES"/>
        </w:rPr>
        <w:t xml:space="preserve">el </w:t>
      </w:r>
      <w:r w:rsidR="00DB4481" w:rsidRPr="00DB4481">
        <w:rPr>
          <w:rFonts w:ascii="Arial" w:hAnsi="Arial" w:cs="Arial"/>
          <w:noProof/>
          <w:color w:val="000000" w:themeColor="text1"/>
          <w:lang w:val="es-ES" w:eastAsia="es-ES"/>
        </w:rPr>
        <w:t>1,7</w:t>
      </w:r>
      <w:r w:rsidR="00DB4481">
        <w:rPr>
          <w:rFonts w:ascii="Arial" w:hAnsi="Arial" w:cs="Arial"/>
          <w:noProof/>
          <w:color w:val="000000" w:themeColor="text1"/>
          <w:lang w:val="es-ES" w:eastAsia="es-ES"/>
        </w:rPr>
        <w:t>7</w:t>
      </w:r>
      <w:r w:rsidR="009E3A6E" w:rsidRPr="00592C7E">
        <w:rPr>
          <w:rFonts w:ascii="Arial" w:hAnsi="Arial" w:cs="Arial"/>
          <w:noProof/>
          <w:color w:val="000000" w:themeColor="text1"/>
          <w:lang w:val="es-ES" w:eastAsia="es-ES"/>
        </w:rPr>
        <w:t xml:space="preserve">% </w:t>
      </w:r>
      <w:r w:rsidR="009E3A6E">
        <w:rPr>
          <w:rFonts w:ascii="Arial" w:hAnsi="Arial" w:cs="Arial"/>
          <w:noProof/>
          <w:lang w:val="es-ES" w:eastAsia="es-ES"/>
        </w:rPr>
        <w:t>(</w:t>
      </w:r>
      <w:r w:rsidR="00DB4481">
        <w:rPr>
          <w:rFonts w:ascii="Arial" w:hAnsi="Arial" w:cs="Arial"/>
          <w:noProof/>
          <w:lang w:val="es-ES" w:eastAsia="es-ES"/>
        </w:rPr>
        <w:t>5</w:t>
      </w:r>
      <w:r w:rsidR="009E3A6E">
        <w:rPr>
          <w:rFonts w:ascii="Arial" w:hAnsi="Arial" w:cs="Arial"/>
          <w:noProof/>
          <w:lang w:val="es-ES" w:eastAsia="es-ES"/>
        </w:rPr>
        <w:t>)</w:t>
      </w:r>
      <w:r w:rsidR="00DB4481">
        <w:rPr>
          <w:rFonts w:ascii="Arial" w:hAnsi="Arial" w:cs="Arial"/>
          <w:noProof/>
          <w:lang w:val="es-ES" w:eastAsia="es-ES"/>
        </w:rPr>
        <w:t>, un (1) Estableciminto Comercial</w:t>
      </w:r>
      <w:r>
        <w:rPr>
          <w:rFonts w:ascii="Arial" w:hAnsi="Arial" w:cs="Arial"/>
          <w:noProof/>
          <w:lang w:val="es-ES" w:eastAsia="es-ES"/>
        </w:rPr>
        <w:t xml:space="preserve"> </w:t>
      </w:r>
      <w:r w:rsidR="00DB4481">
        <w:rPr>
          <w:rFonts w:ascii="Arial" w:hAnsi="Arial" w:cs="Arial"/>
          <w:noProof/>
          <w:lang w:val="es-ES" w:eastAsia="es-ES"/>
        </w:rPr>
        <w:t xml:space="preserve">que representa el </w:t>
      </w:r>
      <w:r w:rsidR="00DB4481" w:rsidRPr="00DB4481">
        <w:rPr>
          <w:rFonts w:ascii="Arial" w:hAnsi="Arial" w:cs="Arial"/>
          <w:noProof/>
          <w:lang w:val="es-ES" w:eastAsia="es-ES"/>
        </w:rPr>
        <w:t>0,35</w:t>
      </w:r>
      <w:r w:rsidR="00DB4481">
        <w:rPr>
          <w:rFonts w:ascii="Arial" w:hAnsi="Arial" w:cs="Arial"/>
          <w:noProof/>
          <w:lang w:val="es-ES" w:eastAsia="es-ES"/>
        </w:rPr>
        <w:t>%. Y</w:t>
      </w:r>
      <w:r>
        <w:rPr>
          <w:rFonts w:ascii="Arial" w:hAnsi="Arial" w:cs="Arial"/>
          <w:noProof/>
          <w:lang w:val="es-ES" w:eastAsia="es-ES"/>
        </w:rPr>
        <w:t xml:space="preserve"> tan solo </w:t>
      </w:r>
      <w:r w:rsidR="00E67D23" w:rsidRPr="00E67D23">
        <w:rPr>
          <w:rFonts w:ascii="Arial" w:hAnsi="Arial" w:cs="Arial"/>
          <w:noProof/>
          <w:lang w:val="es-ES" w:eastAsia="es-ES"/>
        </w:rPr>
        <w:t>1,7</w:t>
      </w:r>
      <w:r w:rsidR="00E67D23">
        <w:rPr>
          <w:rFonts w:ascii="Arial" w:hAnsi="Arial" w:cs="Arial"/>
          <w:noProof/>
          <w:lang w:val="es-ES" w:eastAsia="es-ES"/>
        </w:rPr>
        <w:t>7</w:t>
      </w:r>
      <w:r>
        <w:rPr>
          <w:rFonts w:ascii="Arial" w:hAnsi="Arial" w:cs="Arial"/>
          <w:noProof/>
          <w:lang w:val="es-ES" w:eastAsia="es-ES"/>
        </w:rPr>
        <w:t xml:space="preserve">% </w:t>
      </w:r>
      <w:r w:rsidR="009E3A6E">
        <w:rPr>
          <w:rFonts w:ascii="Arial" w:hAnsi="Arial" w:cs="Arial"/>
          <w:noProof/>
          <w:lang w:val="es-ES" w:eastAsia="es-ES"/>
        </w:rPr>
        <w:t>(</w:t>
      </w:r>
      <w:r w:rsidR="00C85C3C">
        <w:rPr>
          <w:rFonts w:ascii="Arial" w:hAnsi="Arial" w:cs="Arial"/>
          <w:noProof/>
          <w:lang w:val="es-ES" w:eastAsia="es-ES"/>
        </w:rPr>
        <w:t>5</w:t>
      </w:r>
      <w:r w:rsidR="009E3A6E">
        <w:rPr>
          <w:rFonts w:ascii="Arial" w:hAnsi="Arial" w:cs="Arial"/>
          <w:noProof/>
          <w:lang w:val="es-ES" w:eastAsia="es-ES"/>
        </w:rPr>
        <w:t xml:space="preserve">) </w:t>
      </w:r>
      <w:r>
        <w:rPr>
          <w:rFonts w:ascii="Arial" w:hAnsi="Arial" w:cs="Arial"/>
          <w:noProof/>
          <w:lang w:val="es-ES" w:eastAsia="es-ES"/>
        </w:rPr>
        <w:t>no suministraron esta información.</w:t>
      </w:r>
    </w:p>
    <w:p w14:paraId="18DE7B88" w14:textId="77777777" w:rsidR="00394378" w:rsidRPr="007E2536" w:rsidRDefault="00394378" w:rsidP="00986D26">
      <w:pPr>
        <w:spacing w:after="0" w:line="240" w:lineRule="auto"/>
        <w:rPr>
          <w:rFonts w:ascii="Arial" w:hAnsi="Arial" w:cs="Arial"/>
          <w:b/>
          <w:noProof/>
          <w:lang w:val="es-ES" w:eastAsia="es-ES"/>
        </w:rPr>
      </w:pPr>
    </w:p>
    <w:p w14:paraId="6D318C0B" w14:textId="4FE23569" w:rsidR="00A84DF9" w:rsidRPr="007E2536" w:rsidRDefault="009B0119" w:rsidP="00986D26">
      <w:pPr>
        <w:spacing w:after="0" w:line="240" w:lineRule="auto"/>
        <w:jc w:val="center"/>
        <w:rPr>
          <w:rFonts w:ascii="Arial" w:hAnsi="Arial" w:cs="Arial"/>
          <w:b/>
          <w:noProof/>
          <w:lang w:val="es-ES" w:eastAsia="es-ES"/>
        </w:rPr>
      </w:pPr>
      <w:r>
        <w:rPr>
          <w:noProof/>
          <w:lang w:eastAsia="es-CO"/>
        </w:rPr>
        <w:drawing>
          <wp:inline distT="0" distB="0" distL="0" distR="0" wp14:anchorId="3427D2CA" wp14:editId="38B5BD4C">
            <wp:extent cx="5924550" cy="2619375"/>
            <wp:effectExtent l="0" t="0" r="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0D664C1" w14:textId="44004D5C" w:rsidR="00A84DF9" w:rsidRPr="007E2536" w:rsidRDefault="009B0119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Grafica </w:t>
      </w:r>
      <w:r w:rsidR="0050520F">
        <w:rPr>
          <w:rFonts w:ascii="Arial" w:hAnsi="Arial" w:cs="Arial"/>
          <w:color w:val="000000" w:themeColor="text1"/>
          <w:sz w:val="18"/>
          <w:szCs w:val="18"/>
        </w:rPr>
        <w:t>6.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C41FF" w:rsidRPr="007E2536">
        <w:rPr>
          <w:rFonts w:ascii="Arial" w:hAnsi="Arial" w:cs="Arial"/>
          <w:noProof/>
          <w:sz w:val="18"/>
          <w:szCs w:val="18"/>
          <w:lang w:val="es-ES" w:eastAsia="es-ES"/>
        </w:rPr>
        <w:t>PQRSD interpuestas por t</w:t>
      </w:r>
      <w:r w:rsidR="00BA09FE" w:rsidRPr="007E2536">
        <w:rPr>
          <w:rFonts w:ascii="Arial" w:hAnsi="Arial" w:cs="Arial"/>
          <w:noProof/>
          <w:sz w:val="18"/>
          <w:szCs w:val="18"/>
          <w:lang w:val="es-ES" w:eastAsia="es-ES"/>
        </w:rPr>
        <w:t>ipo de requiriente</w:t>
      </w:r>
    </w:p>
    <w:p w14:paraId="43A69A06" w14:textId="18B705B1" w:rsidR="00BA09FE" w:rsidRDefault="00BA09FE" w:rsidP="00986D26">
      <w:pPr>
        <w:spacing w:after="0" w:line="240" w:lineRule="auto"/>
        <w:rPr>
          <w:rFonts w:ascii="Arial" w:hAnsi="Arial" w:cs="Arial"/>
          <w:noProof/>
          <w:sz w:val="18"/>
          <w:szCs w:val="18"/>
          <w:lang w:val="es-ES" w:eastAsia="es-ES"/>
        </w:rPr>
      </w:pPr>
      <w:r w:rsidRPr="007E2536">
        <w:rPr>
          <w:rFonts w:ascii="Arial" w:hAnsi="Arial" w:cs="Arial"/>
          <w:noProof/>
          <w:sz w:val="18"/>
          <w:szCs w:val="18"/>
          <w:lang w:val="es-ES" w:eastAsia="es-ES"/>
        </w:rPr>
        <w:t>Fuente: SDQS</w:t>
      </w:r>
    </w:p>
    <w:p w14:paraId="5BE4032C" w14:textId="7E96C017" w:rsidR="00A84DF9" w:rsidRPr="007E2536" w:rsidRDefault="00A84DF9" w:rsidP="005E6AA6">
      <w:pPr>
        <w:pStyle w:val="Prrafodelista"/>
        <w:numPr>
          <w:ilvl w:val="0"/>
          <w:numId w:val="6"/>
        </w:numPr>
        <w:spacing w:after="0" w:line="240" w:lineRule="auto"/>
        <w:ind w:left="567"/>
        <w:rPr>
          <w:rFonts w:ascii="Arial" w:hAnsi="Arial" w:cs="Arial"/>
          <w:b/>
          <w:noProof/>
          <w:lang w:val="es-ES" w:eastAsia="es-ES"/>
        </w:rPr>
      </w:pPr>
      <w:r w:rsidRPr="007E2536">
        <w:rPr>
          <w:rFonts w:ascii="Arial" w:hAnsi="Arial" w:cs="Arial"/>
          <w:b/>
          <w:noProof/>
          <w:lang w:val="es-ES" w:eastAsia="es-ES"/>
        </w:rPr>
        <w:lastRenderedPageBreak/>
        <w:t>C</w:t>
      </w:r>
      <w:r w:rsidR="00BC37DE" w:rsidRPr="007E2536">
        <w:rPr>
          <w:rFonts w:ascii="Arial" w:hAnsi="Arial" w:cs="Arial"/>
          <w:b/>
          <w:noProof/>
          <w:lang w:val="es-ES" w:eastAsia="es-ES"/>
        </w:rPr>
        <w:t xml:space="preserve">LASIFICACIÓN </w:t>
      </w:r>
      <w:r w:rsidRPr="007E2536">
        <w:rPr>
          <w:rFonts w:ascii="Arial" w:hAnsi="Arial" w:cs="Arial"/>
          <w:b/>
          <w:noProof/>
          <w:lang w:val="es-ES" w:eastAsia="es-ES"/>
        </w:rPr>
        <w:t xml:space="preserve">DEL </w:t>
      </w:r>
      <w:r w:rsidR="00BC37DE" w:rsidRPr="007E2536">
        <w:rPr>
          <w:rFonts w:ascii="Arial" w:hAnsi="Arial" w:cs="Arial"/>
          <w:b/>
          <w:noProof/>
          <w:lang w:val="es-ES" w:eastAsia="es-ES"/>
        </w:rPr>
        <w:t>PETICIONARIO</w:t>
      </w:r>
      <w:r w:rsidRPr="007E2536">
        <w:rPr>
          <w:rFonts w:ascii="Arial" w:hAnsi="Arial" w:cs="Arial"/>
          <w:b/>
          <w:noProof/>
          <w:lang w:val="es-ES" w:eastAsia="es-ES"/>
        </w:rPr>
        <w:t xml:space="preserve"> </w:t>
      </w:r>
    </w:p>
    <w:p w14:paraId="670D5708" w14:textId="77777777" w:rsidR="006F7CFF" w:rsidRDefault="006F7CFF" w:rsidP="006F7CFF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</w:p>
    <w:p w14:paraId="4233F5D8" w14:textId="679555E6" w:rsidR="006F7CFF" w:rsidRPr="006F7CFF" w:rsidRDefault="006F7CFF" w:rsidP="006F7CFF">
      <w:pPr>
        <w:spacing w:after="0" w:line="240" w:lineRule="auto"/>
        <w:jc w:val="both"/>
        <w:rPr>
          <w:rFonts w:ascii="Arial" w:hAnsi="Arial" w:cs="Arial"/>
          <w:noProof/>
          <w:lang w:val="es-ES" w:eastAsia="es-ES"/>
        </w:rPr>
      </w:pPr>
      <w:r w:rsidRPr="006F7CFF">
        <w:rPr>
          <w:rFonts w:ascii="Arial" w:hAnsi="Arial" w:cs="Arial"/>
          <w:noProof/>
          <w:lang w:val="es-ES" w:eastAsia="es-ES"/>
        </w:rPr>
        <w:t>Las normas colombianas permiten que cualquier persona natural o judirica presente peticiones respetuosas a las autoridades, como esta contemplado en el articulo 23 de la Constitución Politica de Colombia.</w:t>
      </w:r>
    </w:p>
    <w:p w14:paraId="7A08E487" w14:textId="77777777" w:rsidR="006F7CFF" w:rsidRPr="007E2536" w:rsidRDefault="006F7CFF" w:rsidP="00986D26">
      <w:pPr>
        <w:pStyle w:val="Prrafodelista"/>
        <w:spacing w:after="0" w:line="240" w:lineRule="auto"/>
        <w:ind w:left="1440"/>
        <w:rPr>
          <w:rFonts w:ascii="Arial" w:hAnsi="Arial" w:cs="Arial"/>
          <w:b/>
          <w:noProof/>
          <w:lang w:val="es-ES" w:eastAsia="es-ES"/>
        </w:rPr>
      </w:pPr>
    </w:p>
    <w:tbl>
      <w:tblPr>
        <w:tblStyle w:val="Tabladecuadrcula4-nfasis11"/>
        <w:tblW w:w="9281" w:type="dxa"/>
        <w:jc w:val="center"/>
        <w:tblLook w:val="04A0" w:firstRow="1" w:lastRow="0" w:firstColumn="1" w:lastColumn="0" w:noHBand="0" w:noVBand="1"/>
      </w:tblPr>
      <w:tblGrid>
        <w:gridCol w:w="5103"/>
        <w:gridCol w:w="1985"/>
        <w:gridCol w:w="2193"/>
      </w:tblGrid>
      <w:tr w:rsidR="00503226" w:rsidRPr="007E2536" w14:paraId="10FFB857" w14:textId="77777777" w:rsidTr="00872F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14:paraId="108452B2" w14:textId="43C01C7B" w:rsidR="00A84DF9" w:rsidRPr="007E2536" w:rsidRDefault="00503226" w:rsidP="00E4243F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PETICIONARIO</w:t>
            </w:r>
          </w:p>
        </w:tc>
        <w:tc>
          <w:tcPr>
            <w:tcW w:w="1985" w:type="dxa"/>
            <w:noWrap/>
            <w:vAlign w:val="center"/>
            <w:hideMark/>
          </w:tcPr>
          <w:p w14:paraId="3F651FBA" w14:textId="3B80BB60" w:rsidR="00A84DF9" w:rsidRPr="007E2536" w:rsidRDefault="00503226" w:rsidP="00E424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CANTIDAD</w:t>
            </w:r>
          </w:p>
        </w:tc>
        <w:tc>
          <w:tcPr>
            <w:tcW w:w="2193" w:type="dxa"/>
            <w:noWrap/>
            <w:vAlign w:val="center"/>
            <w:hideMark/>
          </w:tcPr>
          <w:p w14:paraId="257EEABA" w14:textId="47DA28D9" w:rsidR="00A84DF9" w:rsidRPr="007E2536" w:rsidRDefault="00503226" w:rsidP="00E4243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lang w:eastAsia="es-CO"/>
              </w:rPr>
            </w:pPr>
            <w:r w:rsidRPr="007E2536">
              <w:rPr>
                <w:rFonts w:ascii="Arial" w:eastAsia="Times New Roman" w:hAnsi="Arial" w:cs="Arial"/>
                <w:lang w:eastAsia="es-CO"/>
              </w:rPr>
              <w:t>PORCENTAJE</w:t>
            </w:r>
          </w:p>
        </w:tc>
      </w:tr>
      <w:tr w:rsidR="00C42D3A" w:rsidRPr="007E2536" w14:paraId="4F61104B" w14:textId="77777777" w:rsidTr="00872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3D4FA21F" w14:textId="77777777" w:rsidR="00C42D3A" w:rsidRPr="007E2536" w:rsidRDefault="00C42D3A" w:rsidP="00986D2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Anónimo</w:t>
            </w:r>
          </w:p>
        </w:tc>
        <w:tc>
          <w:tcPr>
            <w:tcW w:w="1985" w:type="dxa"/>
            <w:noWrap/>
            <w:vAlign w:val="center"/>
            <w:hideMark/>
          </w:tcPr>
          <w:p w14:paraId="330B41CD" w14:textId="02EF0A2E" w:rsidR="00C42D3A" w:rsidRPr="007E2536" w:rsidRDefault="009B0119" w:rsidP="00D04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2193" w:type="dxa"/>
            <w:noWrap/>
            <w:vAlign w:val="center"/>
            <w:hideMark/>
          </w:tcPr>
          <w:p w14:paraId="51E81456" w14:textId="52654A42" w:rsidR="00C42D3A" w:rsidRPr="007E2536" w:rsidRDefault="009B0119" w:rsidP="00D04E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hAnsi="Arial" w:cs="Arial"/>
              </w:rPr>
              <w:t>1,</w:t>
            </w:r>
            <w:r w:rsidR="008F17DC">
              <w:rPr>
                <w:rFonts w:ascii="Arial" w:hAnsi="Arial" w:cs="Arial"/>
              </w:rPr>
              <w:t>77</w:t>
            </w:r>
            <w:r w:rsidR="00C42D3A" w:rsidRPr="007E2536">
              <w:rPr>
                <w:rFonts w:ascii="Arial" w:hAnsi="Arial" w:cs="Arial"/>
              </w:rPr>
              <w:t>%</w:t>
            </w:r>
          </w:p>
        </w:tc>
      </w:tr>
      <w:tr w:rsidR="00C42D3A" w:rsidRPr="007E2536" w14:paraId="5CA06BD2" w14:textId="77777777" w:rsidTr="00872F6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59BADA0C" w14:textId="77777777" w:rsidR="00C42D3A" w:rsidRPr="007E2536" w:rsidRDefault="00C42D3A" w:rsidP="00986D26">
            <w:pPr>
              <w:spacing w:after="0" w:line="240" w:lineRule="auto"/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 w:val="0"/>
                <w:color w:val="000000"/>
                <w:lang w:eastAsia="es-CO"/>
              </w:rPr>
              <w:t>Identificado</w:t>
            </w:r>
          </w:p>
        </w:tc>
        <w:tc>
          <w:tcPr>
            <w:tcW w:w="1985" w:type="dxa"/>
            <w:noWrap/>
            <w:vAlign w:val="center"/>
            <w:hideMark/>
          </w:tcPr>
          <w:p w14:paraId="704BDF2A" w14:textId="18EFA850" w:rsidR="00C42D3A" w:rsidRPr="007E2536" w:rsidRDefault="009B0119" w:rsidP="00D04E0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278</w:t>
            </w:r>
          </w:p>
        </w:tc>
        <w:tc>
          <w:tcPr>
            <w:tcW w:w="2193" w:type="dxa"/>
            <w:noWrap/>
            <w:vAlign w:val="center"/>
            <w:hideMark/>
          </w:tcPr>
          <w:p w14:paraId="29BD422C" w14:textId="06E3570C" w:rsidR="00C42D3A" w:rsidRPr="007E2536" w:rsidRDefault="004F2B02" w:rsidP="009B011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4F2B02">
              <w:rPr>
                <w:rFonts w:ascii="Arial" w:hAnsi="Arial" w:cs="Arial"/>
              </w:rPr>
              <w:t>9</w:t>
            </w:r>
            <w:r w:rsidR="009B0119">
              <w:rPr>
                <w:rFonts w:ascii="Arial" w:hAnsi="Arial" w:cs="Arial"/>
              </w:rPr>
              <w:t>8</w:t>
            </w:r>
            <w:r w:rsidRPr="004F2B02">
              <w:rPr>
                <w:rFonts w:ascii="Arial" w:hAnsi="Arial" w:cs="Arial"/>
              </w:rPr>
              <w:t>,</w:t>
            </w:r>
            <w:r w:rsidR="009B0119">
              <w:rPr>
                <w:rFonts w:ascii="Arial" w:hAnsi="Arial" w:cs="Arial"/>
              </w:rPr>
              <w:t>2</w:t>
            </w:r>
            <w:r w:rsidR="008F17DC">
              <w:rPr>
                <w:rFonts w:ascii="Arial" w:hAnsi="Arial" w:cs="Arial"/>
              </w:rPr>
              <w:t>3</w:t>
            </w:r>
            <w:r w:rsidR="00C42D3A" w:rsidRPr="007E2536">
              <w:rPr>
                <w:rFonts w:ascii="Arial" w:hAnsi="Arial" w:cs="Arial"/>
              </w:rPr>
              <w:t>%</w:t>
            </w:r>
          </w:p>
        </w:tc>
      </w:tr>
      <w:tr w:rsidR="00C42D3A" w:rsidRPr="007E2536" w14:paraId="768E3AF5" w14:textId="77777777" w:rsidTr="00872F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vAlign w:val="center"/>
            <w:hideMark/>
          </w:tcPr>
          <w:p w14:paraId="11554F54" w14:textId="0161ACE3" w:rsidR="00C42D3A" w:rsidRPr="007E2536" w:rsidRDefault="00C42D3A" w:rsidP="00E4243F">
            <w:pPr>
              <w:spacing w:after="0" w:line="240" w:lineRule="auto"/>
              <w:rPr>
                <w:rFonts w:ascii="Arial" w:eastAsia="Times New Roman" w:hAnsi="Arial" w:cs="Arial"/>
                <w:b w:val="0"/>
                <w:bCs w:val="0"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color w:val="000000"/>
                <w:lang w:eastAsia="es-CO"/>
              </w:rPr>
              <w:t>TOTAL</w:t>
            </w:r>
          </w:p>
        </w:tc>
        <w:tc>
          <w:tcPr>
            <w:tcW w:w="1985" w:type="dxa"/>
            <w:noWrap/>
            <w:vAlign w:val="center"/>
            <w:hideMark/>
          </w:tcPr>
          <w:p w14:paraId="10D0FC8C" w14:textId="78275AE8" w:rsidR="00C42D3A" w:rsidRPr="007E2536" w:rsidRDefault="00E80705" w:rsidP="009B011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7E2536">
              <w:rPr>
                <w:rFonts w:ascii="Arial" w:eastAsia="Times New Roman" w:hAnsi="Arial" w:cs="Arial"/>
                <w:b/>
                <w:color w:val="000000"/>
                <w:lang w:eastAsia="es-CO"/>
              </w:rPr>
              <w:t>2</w:t>
            </w:r>
            <w:r w:rsidR="009B0119">
              <w:rPr>
                <w:rFonts w:ascii="Arial" w:eastAsia="Times New Roman" w:hAnsi="Arial" w:cs="Arial"/>
                <w:b/>
                <w:color w:val="000000"/>
                <w:lang w:eastAsia="es-CO"/>
              </w:rPr>
              <w:t>83</w:t>
            </w:r>
          </w:p>
        </w:tc>
        <w:tc>
          <w:tcPr>
            <w:tcW w:w="2193" w:type="dxa"/>
            <w:noWrap/>
            <w:vAlign w:val="center"/>
            <w:hideMark/>
          </w:tcPr>
          <w:p w14:paraId="3C752EB9" w14:textId="1E506F78" w:rsidR="00C42D3A" w:rsidRPr="007E2536" w:rsidRDefault="00C42D3A" w:rsidP="00E4243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s-CO"/>
              </w:rPr>
            </w:pPr>
            <w:r w:rsidRPr="007E2536">
              <w:rPr>
                <w:rFonts w:ascii="Arial" w:hAnsi="Arial" w:cs="Arial"/>
                <w:b/>
              </w:rPr>
              <w:t>100,0%</w:t>
            </w:r>
          </w:p>
        </w:tc>
      </w:tr>
    </w:tbl>
    <w:p w14:paraId="4978BB58" w14:textId="5D6D7AB2" w:rsidR="00A84DF9" w:rsidRPr="007E2536" w:rsidRDefault="00CC41FF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Tabla </w:t>
      </w:r>
      <w:r w:rsidR="00ED504C">
        <w:rPr>
          <w:rFonts w:ascii="Arial" w:hAnsi="Arial" w:cs="Arial"/>
          <w:color w:val="000000" w:themeColor="text1"/>
          <w:sz w:val="18"/>
          <w:szCs w:val="18"/>
        </w:rPr>
        <w:t>6</w:t>
      </w:r>
      <w:r w:rsidRPr="007E2536">
        <w:rPr>
          <w:rFonts w:ascii="Arial" w:hAnsi="Arial" w:cs="Arial"/>
          <w:color w:val="000000" w:themeColor="text1"/>
          <w:sz w:val="18"/>
          <w:szCs w:val="18"/>
        </w:rPr>
        <w:t>. PQRSD interpuesta por tipo de</w:t>
      </w:r>
      <w:r w:rsidR="00BC37DE" w:rsidRPr="007E2536">
        <w:rPr>
          <w:rFonts w:ascii="Arial" w:hAnsi="Arial" w:cs="Arial"/>
          <w:color w:val="000000" w:themeColor="text1"/>
          <w:sz w:val="18"/>
          <w:szCs w:val="18"/>
        </w:rPr>
        <w:t xml:space="preserve"> peticionario</w:t>
      </w:r>
    </w:p>
    <w:p w14:paraId="68DC646A" w14:textId="0649BBD9" w:rsidR="00BC37DE" w:rsidRPr="007E2536" w:rsidRDefault="00BC37DE" w:rsidP="00986D26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7E2536">
        <w:rPr>
          <w:rFonts w:ascii="Arial" w:hAnsi="Arial" w:cs="Arial"/>
          <w:color w:val="000000" w:themeColor="text1"/>
          <w:sz w:val="18"/>
          <w:szCs w:val="18"/>
        </w:rPr>
        <w:t xml:space="preserve">Fuente: </w:t>
      </w:r>
      <w:r w:rsidR="009B0119" w:rsidRPr="007E2536">
        <w:rPr>
          <w:rFonts w:ascii="Arial" w:eastAsia="Times New Roman" w:hAnsi="Arial" w:cs="Arial"/>
          <w:color w:val="000000"/>
          <w:sz w:val="18"/>
          <w:szCs w:val="18"/>
          <w:lang w:eastAsia="es-CO"/>
        </w:rPr>
        <w:t>SDQS</w:t>
      </w:r>
      <w:r w:rsidR="009B0119">
        <w:rPr>
          <w:rFonts w:ascii="Arial" w:eastAsia="Times New Roman" w:hAnsi="Arial" w:cs="Arial"/>
          <w:color w:val="000000"/>
          <w:sz w:val="18"/>
          <w:szCs w:val="18"/>
          <w:lang w:eastAsia="es-CO"/>
        </w:rPr>
        <w:t xml:space="preserve"> - </w:t>
      </w:r>
      <w:r w:rsidR="009B0119">
        <w:rPr>
          <w:rFonts w:ascii="Arial" w:hAnsi="Arial" w:cs="Arial"/>
          <w:color w:val="000000" w:themeColor="text1"/>
          <w:sz w:val="18"/>
          <w:szCs w:val="18"/>
        </w:rPr>
        <w:t>Servicio al Ciudadano</w:t>
      </w:r>
    </w:p>
    <w:p w14:paraId="0D0B9398" w14:textId="77777777" w:rsidR="005E30F2" w:rsidRPr="007E2536" w:rsidRDefault="005E30F2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090D6F1D" w14:textId="192F19CA" w:rsidR="00C315AC" w:rsidRPr="00415AD8" w:rsidRDefault="00C315AC" w:rsidP="00C315AC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Para el mes de </w:t>
      </w:r>
      <w:r w:rsidR="009B0119">
        <w:rPr>
          <w:rFonts w:ascii="Arial" w:hAnsi="Arial" w:cs="Arial"/>
          <w:color w:val="000000" w:themeColor="text1"/>
        </w:rPr>
        <w:t>agosto</w:t>
      </w:r>
      <w:r>
        <w:rPr>
          <w:rFonts w:ascii="Arial" w:hAnsi="Arial" w:cs="Arial"/>
          <w:color w:val="000000" w:themeColor="text1"/>
        </w:rPr>
        <w:t xml:space="preserve">, de las </w:t>
      </w:r>
      <w:r w:rsidR="00814835">
        <w:rPr>
          <w:rFonts w:ascii="Arial" w:hAnsi="Arial" w:cs="Arial"/>
          <w:color w:val="000000" w:themeColor="text1"/>
        </w:rPr>
        <w:t xml:space="preserve">cinco </w:t>
      </w:r>
      <w:r>
        <w:rPr>
          <w:rFonts w:ascii="Arial" w:hAnsi="Arial" w:cs="Arial"/>
          <w:color w:val="000000" w:themeColor="text1"/>
        </w:rPr>
        <w:t>(</w:t>
      </w:r>
      <w:r w:rsidR="00814835">
        <w:rPr>
          <w:rFonts w:ascii="Arial" w:hAnsi="Arial" w:cs="Arial"/>
          <w:color w:val="000000" w:themeColor="text1"/>
        </w:rPr>
        <w:t>5</w:t>
      </w:r>
      <w:r>
        <w:rPr>
          <w:rFonts w:ascii="Arial" w:hAnsi="Arial" w:cs="Arial"/>
          <w:color w:val="000000" w:themeColor="text1"/>
        </w:rPr>
        <w:t>) PQRSD interpuestas por peticionarios anónimos, se dio respuesta a</w:t>
      </w:r>
      <w:r w:rsidR="00814835">
        <w:rPr>
          <w:rFonts w:ascii="Arial" w:hAnsi="Arial" w:cs="Arial"/>
          <w:color w:val="000000" w:themeColor="text1"/>
        </w:rPr>
        <w:t>l 20% (1)</w:t>
      </w:r>
      <w:r>
        <w:rPr>
          <w:rFonts w:ascii="Arial" w:hAnsi="Arial" w:cs="Arial"/>
          <w:color w:val="000000" w:themeColor="text1"/>
        </w:rPr>
        <w:t xml:space="preserve"> de ellas atendiendo los tiempos que determina la Ley. </w:t>
      </w:r>
    </w:p>
    <w:p w14:paraId="636C5AD0" w14:textId="77777777" w:rsidR="00C315AC" w:rsidRPr="00784096" w:rsidRDefault="00C315AC" w:rsidP="00C315AC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7003B6C1" w14:textId="77777777" w:rsidR="00E80705" w:rsidRDefault="00E80705" w:rsidP="00986D26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14:paraId="37B80000" w14:textId="5218708B" w:rsidR="00A84DF9" w:rsidRPr="007E2536" w:rsidRDefault="00A84DF9" w:rsidP="00085959">
      <w:pPr>
        <w:pStyle w:val="Prrafodelista"/>
        <w:numPr>
          <w:ilvl w:val="0"/>
          <w:numId w:val="6"/>
        </w:numPr>
        <w:spacing w:after="0" w:line="240" w:lineRule="auto"/>
        <w:ind w:left="567"/>
        <w:jc w:val="both"/>
        <w:rPr>
          <w:rFonts w:ascii="Arial" w:hAnsi="Arial" w:cs="Arial"/>
          <w:b/>
          <w:bCs/>
          <w:lang w:val="es-ES"/>
        </w:rPr>
      </w:pPr>
      <w:r w:rsidRPr="007E2536">
        <w:rPr>
          <w:rFonts w:ascii="Arial" w:hAnsi="Arial" w:cs="Arial"/>
          <w:b/>
          <w:bCs/>
          <w:lang w:val="es-ES"/>
        </w:rPr>
        <w:t>CONCLUSIONES Y RECOMENDACIONES.</w:t>
      </w:r>
    </w:p>
    <w:p w14:paraId="4004133E" w14:textId="77777777" w:rsidR="000411B1" w:rsidRPr="007E2536" w:rsidRDefault="000411B1" w:rsidP="00986D26">
      <w:pPr>
        <w:spacing w:after="0" w:line="240" w:lineRule="auto"/>
        <w:ind w:left="1080"/>
        <w:jc w:val="both"/>
        <w:rPr>
          <w:rFonts w:ascii="Arial" w:hAnsi="Arial" w:cs="Arial"/>
          <w:lang w:val="es-ES"/>
        </w:rPr>
      </w:pPr>
    </w:p>
    <w:p w14:paraId="38E57558" w14:textId="44F1CEDA" w:rsidR="005053CD" w:rsidRDefault="005F716C" w:rsidP="005053CD">
      <w:pPr>
        <w:spacing w:after="0" w:line="24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28</w:t>
      </w:r>
      <w:r w:rsidR="009B0119">
        <w:rPr>
          <w:rFonts w:ascii="Arial" w:hAnsi="Arial" w:cs="Arial"/>
          <w:lang w:val="es-ES"/>
        </w:rPr>
        <w:t xml:space="preserve">3 </w:t>
      </w:r>
      <w:r w:rsidRPr="00C908B0">
        <w:rPr>
          <w:rFonts w:ascii="Arial" w:hAnsi="Arial" w:cs="Arial"/>
          <w:lang w:val="es-ES"/>
        </w:rPr>
        <w:t xml:space="preserve">fueron las PQRSD recibidas en </w:t>
      </w:r>
      <w:r w:rsidR="009B0119">
        <w:rPr>
          <w:rFonts w:ascii="Arial" w:hAnsi="Arial" w:cs="Arial"/>
          <w:lang w:val="es-ES"/>
        </w:rPr>
        <w:t>agosto</w:t>
      </w:r>
      <w:r w:rsidRPr="00C908B0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lo que representa </w:t>
      </w:r>
      <w:r w:rsidRPr="00C908B0">
        <w:rPr>
          <w:rFonts w:ascii="Arial" w:hAnsi="Arial" w:cs="Arial"/>
          <w:lang w:val="es-ES"/>
        </w:rPr>
        <w:t xml:space="preserve">una disminución del </w:t>
      </w:r>
      <w:r w:rsidR="00085959" w:rsidRPr="007E2536">
        <w:rPr>
          <w:rFonts w:ascii="Arial" w:hAnsi="Arial" w:cs="Arial"/>
        </w:rPr>
        <w:t>1,</w:t>
      </w:r>
      <w:r w:rsidR="00085959">
        <w:rPr>
          <w:rFonts w:ascii="Arial" w:hAnsi="Arial" w:cs="Arial"/>
        </w:rPr>
        <w:t>74</w:t>
      </w:r>
      <w:r w:rsidRPr="00C908B0">
        <w:rPr>
          <w:rFonts w:ascii="Arial" w:hAnsi="Arial" w:cs="Arial"/>
          <w:lang w:val="es-ES"/>
        </w:rPr>
        <w:t xml:space="preserve">% frente al mes anterior. Igual que en los meses anteriores, el canal escrito es el más utilizado con un total de </w:t>
      </w:r>
      <w:r>
        <w:rPr>
          <w:rFonts w:ascii="Arial" w:hAnsi="Arial" w:cs="Arial"/>
          <w:lang w:val="es-ES"/>
        </w:rPr>
        <w:t>2</w:t>
      </w:r>
      <w:r w:rsidR="00262BC0">
        <w:rPr>
          <w:rFonts w:ascii="Arial" w:hAnsi="Arial" w:cs="Arial"/>
          <w:lang w:val="es-ES"/>
        </w:rPr>
        <w:t>43</w:t>
      </w:r>
      <w:r w:rsidRPr="00C908B0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(</w:t>
      </w:r>
      <w:r w:rsidR="00262BC0">
        <w:rPr>
          <w:rFonts w:ascii="Arial" w:hAnsi="Arial" w:cs="Arial"/>
          <w:lang w:val="es-ES"/>
        </w:rPr>
        <w:t>85,</w:t>
      </w:r>
      <w:r w:rsidR="00085959">
        <w:rPr>
          <w:rFonts w:ascii="Arial" w:hAnsi="Arial" w:cs="Arial"/>
          <w:lang w:val="es-ES"/>
        </w:rPr>
        <w:t>87</w:t>
      </w:r>
      <w:r>
        <w:rPr>
          <w:rFonts w:ascii="Arial" w:hAnsi="Arial" w:cs="Arial"/>
          <w:lang w:val="es-ES"/>
        </w:rPr>
        <w:t xml:space="preserve">%) </w:t>
      </w:r>
      <w:r w:rsidRPr="00C908B0">
        <w:rPr>
          <w:rFonts w:ascii="Arial" w:hAnsi="Arial" w:cs="Arial"/>
          <w:lang w:val="es-ES"/>
        </w:rPr>
        <w:t xml:space="preserve">PQRSD. </w:t>
      </w:r>
      <w:r>
        <w:rPr>
          <w:rFonts w:ascii="Arial" w:hAnsi="Arial" w:cs="Arial"/>
          <w:lang w:val="es-ES"/>
        </w:rPr>
        <w:t xml:space="preserve">Y la tipología denominada como </w:t>
      </w:r>
      <w:r w:rsidRPr="00C908B0">
        <w:rPr>
          <w:rFonts w:ascii="Arial" w:hAnsi="Arial" w:cs="Arial"/>
          <w:lang w:val="es-ES"/>
        </w:rPr>
        <w:t xml:space="preserve">Derechos de Petición de Interés Particular </w:t>
      </w:r>
      <w:r>
        <w:rPr>
          <w:rFonts w:ascii="Arial" w:hAnsi="Arial" w:cs="Arial"/>
          <w:lang w:val="es-ES"/>
        </w:rPr>
        <w:t>fue la</w:t>
      </w:r>
      <w:r w:rsidRPr="00C908B0">
        <w:rPr>
          <w:rFonts w:ascii="Arial" w:hAnsi="Arial" w:cs="Arial"/>
          <w:lang w:val="es-ES"/>
        </w:rPr>
        <w:t xml:space="preserve"> más interpuestas</w:t>
      </w:r>
      <w:r>
        <w:rPr>
          <w:rFonts w:ascii="Arial" w:hAnsi="Arial" w:cs="Arial"/>
          <w:lang w:val="es-ES"/>
        </w:rPr>
        <w:t>, con un 90,</w:t>
      </w:r>
      <w:r w:rsidR="00085959">
        <w:rPr>
          <w:rFonts w:ascii="Arial" w:hAnsi="Arial" w:cs="Arial"/>
          <w:lang w:val="es-ES"/>
        </w:rPr>
        <w:t>46</w:t>
      </w:r>
      <w:r>
        <w:rPr>
          <w:rFonts w:ascii="Arial" w:hAnsi="Arial" w:cs="Arial"/>
          <w:lang w:val="es-ES"/>
        </w:rPr>
        <w:t>% (2</w:t>
      </w:r>
      <w:r w:rsidR="00262BC0">
        <w:rPr>
          <w:rFonts w:ascii="Arial" w:hAnsi="Arial" w:cs="Arial"/>
          <w:lang w:val="es-ES"/>
        </w:rPr>
        <w:t>56</w:t>
      </w:r>
      <w:r>
        <w:rPr>
          <w:rFonts w:ascii="Arial" w:hAnsi="Arial" w:cs="Arial"/>
          <w:lang w:val="es-ES"/>
        </w:rPr>
        <w:t>)</w:t>
      </w:r>
      <w:r w:rsidRPr="00C908B0">
        <w:rPr>
          <w:rFonts w:ascii="Arial" w:hAnsi="Arial" w:cs="Arial"/>
          <w:lang w:val="es-ES"/>
        </w:rPr>
        <w:t xml:space="preserve">. </w:t>
      </w:r>
      <w:r w:rsidR="005053CD">
        <w:rPr>
          <w:rFonts w:ascii="Arial" w:hAnsi="Arial" w:cs="Arial"/>
          <w:lang w:val="es-ES"/>
        </w:rPr>
        <w:t xml:space="preserve">Para este mes </w:t>
      </w:r>
      <w:r w:rsidR="005053CD" w:rsidRPr="00C908B0">
        <w:rPr>
          <w:rFonts w:ascii="Arial" w:hAnsi="Arial" w:cs="Arial"/>
          <w:lang w:val="es-ES"/>
        </w:rPr>
        <w:t xml:space="preserve">el Programa de Reasentamientos Humanos </w:t>
      </w:r>
      <w:r w:rsidR="005053CD">
        <w:rPr>
          <w:rFonts w:ascii="Arial" w:hAnsi="Arial" w:cs="Arial"/>
          <w:lang w:val="es-ES"/>
        </w:rPr>
        <w:t xml:space="preserve">y Urbanizaciones y Titulación, con las dependencias </w:t>
      </w:r>
      <w:r w:rsidR="005053CD" w:rsidRPr="00C908B0">
        <w:rPr>
          <w:rFonts w:ascii="Arial" w:hAnsi="Arial" w:cs="Arial"/>
          <w:lang w:val="es-ES"/>
        </w:rPr>
        <w:t xml:space="preserve">más </w:t>
      </w:r>
      <w:r w:rsidR="005053CD">
        <w:rPr>
          <w:rFonts w:ascii="Arial" w:hAnsi="Arial" w:cs="Arial"/>
          <w:lang w:val="es-ES"/>
        </w:rPr>
        <w:t>requerida</w:t>
      </w:r>
      <w:r w:rsidR="005053CD" w:rsidRPr="00C908B0">
        <w:rPr>
          <w:rFonts w:ascii="Arial" w:hAnsi="Arial" w:cs="Arial"/>
          <w:lang w:val="es-ES"/>
        </w:rPr>
        <w:t xml:space="preserve"> en las PQRSD, con un </w:t>
      </w:r>
      <w:r w:rsidR="005053CD">
        <w:rPr>
          <w:rFonts w:ascii="Arial" w:hAnsi="Arial" w:cs="Arial"/>
          <w:lang w:val="es-ES"/>
        </w:rPr>
        <w:t>32,51</w:t>
      </w:r>
      <w:r w:rsidR="005053CD" w:rsidRPr="00C908B0">
        <w:rPr>
          <w:rFonts w:ascii="Arial" w:hAnsi="Arial" w:cs="Arial"/>
          <w:lang w:val="es-ES"/>
        </w:rPr>
        <w:t>%</w:t>
      </w:r>
      <w:r w:rsidR="005053CD">
        <w:rPr>
          <w:rFonts w:ascii="Arial" w:hAnsi="Arial" w:cs="Arial"/>
          <w:lang w:val="es-ES"/>
        </w:rPr>
        <w:t xml:space="preserve"> (92), cada una. Y depen</w:t>
      </w:r>
      <w:r w:rsidR="005053CD" w:rsidRPr="00C908B0">
        <w:rPr>
          <w:rFonts w:ascii="Arial" w:hAnsi="Arial" w:cs="Arial"/>
          <w:lang w:val="es-ES"/>
        </w:rPr>
        <w:t xml:space="preserve">diendo </w:t>
      </w:r>
      <w:r w:rsidR="005053CD">
        <w:rPr>
          <w:rFonts w:ascii="Arial" w:hAnsi="Arial" w:cs="Arial"/>
          <w:lang w:val="es-ES"/>
        </w:rPr>
        <w:t>d</w:t>
      </w:r>
      <w:r w:rsidR="005053CD" w:rsidRPr="00C908B0">
        <w:rPr>
          <w:rFonts w:ascii="Arial" w:hAnsi="Arial" w:cs="Arial"/>
          <w:lang w:val="es-ES"/>
        </w:rPr>
        <w:t xml:space="preserve">el número de PQRSD </w:t>
      </w:r>
      <w:r w:rsidR="005053CD">
        <w:rPr>
          <w:rFonts w:ascii="Arial" w:hAnsi="Arial" w:cs="Arial"/>
          <w:lang w:val="es-ES"/>
        </w:rPr>
        <w:t xml:space="preserve">que se presenten en el mes, </w:t>
      </w:r>
      <w:r w:rsidR="005053CD" w:rsidRPr="00C908B0">
        <w:rPr>
          <w:rFonts w:ascii="Arial" w:hAnsi="Arial" w:cs="Arial"/>
          <w:lang w:val="es-ES"/>
        </w:rPr>
        <w:t xml:space="preserve">se </w:t>
      </w:r>
      <w:r w:rsidR="005053CD">
        <w:rPr>
          <w:rFonts w:ascii="Arial" w:hAnsi="Arial" w:cs="Arial"/>
          <w:lang w:val="es-ES"/>
        </w:rPr>
        <w:t xml:space="preserve">puede </w:t>
      </w:r>
      <w:r w:rsidR="005053CD" w:rsidRPr="00C908B0">
        <w:rPr>
          <w:rFonts w:ascii="Arial" w:hAnsi="Arial" w:cs="Arial"/>
          <w:lang w:val="es-ES"/>
        </w:rPr>
        <w:t>disminu</w:t>
      </w:r>
      <w:r w:rsidR="005053CD">
        <w:rPr>
          <w:rFonts w:ascii="Arial" w:hAnsi="Arial" w:cs="Arial"/>
          <w:lang w:val="es-ES"/>
        </w:rPr>
        <w:t xml:space="preserve">ir </w:t>
      </w:r>
      <w:r w:rsidR="005053CD" w:rsidRPr="00C908B0">
        <w:rPr>
          <w:rFonts w:ascii="Arial" w:hAnsi="Arial" w:cs="Arial"/>
          <w:lang w:val="es-ES"/>
        </w:rPr>
        <w:t>o incrementa</w:t>
      </w:r>
      <w:r w:rsidR="005053CD">
        <w:rPr>
          <w:rFonts w:ascii="Arial" w:hAnsi="Arial" w:cs="Arial"/>
          <w:lang w:val="es-ES"/>
        </w:rPr>
        <w:t>r</w:t>
      </w:r>
      <w:r w:rsidR="005053CD" w:rsidRPr="00C908B0">
        <w:rPr>
          <w:rFonts w:ascii="Arial" w:hAnsi="Arial" w:cs="Arial"/>
          <w:lang w:val="es-ES"/>
        </w:rPr>
        <w:t xml:space="preserve"> los tiempos de respuesta</w:t>
      </w:r>
      <w:r w:rsidR="005053CD">
        <w:rPr>
          <w:rFonts w:ascii="Arial" w:hAnsi="Arial" w:cs="Arial"/>
          <w:lang w:val="es-ES"/>
        </w:rPr>
        <w:t xml:space="preserve">; que para el mes de </w:t>
      </w:r>
      <w:r w:rsidR="00727835">
        <w:rPr>
          <w:rFonts w:ascii="Arial" w:hAnsi="Arial" w:cs="Arial"/>
          <w:lang w:val="es-ES"/>
        </w:rPr>
        <w:t>agosto</w:t>
      </w:r>
      <w:r w:rsidR="005053CD">
        <w:rPr>
          <w:rFonts w:ascii="Arial" w:hAnsi="Arial" w:cs="Arial"/>
          <w:lang w:val="es-ES"/>
        </w:rPr>
        <w:t xml:space="preserve"> se ubicó en </w:t>
      </w:r>
      <w:r w:rsidR="004F13BC">
        <w:rPr>
          <w:rFonts w:ascii="Arial" w:hAnsi="Arial" w:cs="Arial"/>
          <w:lang w:val="es-ES"/>
        </w:rPr>
        <w:t>10,24</w:t>
      </w:r>
      <w:r w:rsidR="005053CD">
        <w:rPr>
          <w:rFonts w:ascii="Arial" w:hAnsi="Arial" w:cs="Arial"/>
          <w:lang w:val="es-ES"/>
        </w:rPr>
        <w:t xml:space="preserve"> días hábiles promedio de los 1</w:t>
      </w:r>
      <w:r w:rsidR="00C467AF">
        <w:rPr>
          <w:rFonts w:ascii="Arial" w:hAnsi="Arial" w:cs="Arial"/>
          <w:lang w:val="es-ES"/>
        </w:rPr>
        <w:t>3,00</w:t>
      </w:r>
      <w:r w:rsidR="005053CD">
        <w:rPr>
          <w:rFonts w:ascii="Arial" w:hAnsi="Arial" w:cs="Arial"/>
          <w:lang w:val="es-ES"/>
        </w:rPr>
        <w:t xml:space="preserve"> días hábiles máximo promedio permitidos por la ley</w:t>
      </w:r>
      <w:r w:rsidR="005053CD" w:rsidRPr="00C908B0">
        <w:rPr>
          <w:rFonts w:ascii="Arial" w:hAnsi="Arial" w:cs="Arial"/>
          <w:lang w:val="es-ES"/>
        </w:rPr>
        <w:t>.</w:t>
      </w:r>
      <w:r w:rsidR="005053CD">
        <w:rPr>
          <w:rFonts w:ascii="Arial" w:hAnsi="Arial" w:cs="Arial"/>
          <w:lang w:val="es-ES"/>
        </w:rPr>
        <w:t xml:space="preserve"> Lo que representa un ahorro promedio de </w:t>
      </w:r>
      <w:r w:rsidR="00C467AF">
        <w:rPr>
          <w:rFonts w:ascii="Arial" w:hAnsi="Arial" w:cs="Arial"/>
          <w:lang w:val="es-ES"/>
        </w:rPr>
        <w:t>21,25</w:t>
      </w:r>
      <w:r w:rsidR="005053CD">
        <w:rPr>
          <w:rFonts w:ascii="Arial" w:hAnsi="Arial" w:cs="Arial"/>
        </w:rPr>
        <w:t>%.</w:t>
      </w:r>
    </w:p>
    <w:p w14:paraId="22CD39A9" w14:textId="3629BC65" w:rsidR="005053CD" w:rsidRDefault="005053CD" w:rsidP="005F716C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6331705D" w14:textId="355BAD17" w:rsidR="005F716C" w:rsidRPr="00C908B0" w:rsidRDefault="005F716C" w:rsidP="005F716C">
      <w:pPr>
        <w:spacing w:after="0" w:line="240" w:lineRule="auto"/>
        <w:jc w:val="both"/>
        <w:rPr>
          <w:rFonts w:ascii="Arial" w:hAnsi="Arial" w:cs="Arial"/>
          <w:lang w:val="es-ES"/>
        </w:rPr>
      </w:pPr>
      <w:r w:rsidRPr="00C908B0">
        <w:rPr>
          <w:rFonts w:ascii="Arial" w:hAnsi="Arial" w:cs="Arial"/>
          <w:lang w:val="es-ES"/>
        </w:rPr>
        <w:t xml:space="preserve">Es de resaltar la importancia del seguimiento </w:t>
      </w:r>
      <w:r w:rsidR="00262BC0">
        <w:rPr>
          <w:rFonts w:ascii="Arial" w:hAnsi="Arial" w:cs="Arial"/>
          <w:lang w:val="es-ES"/>
        </w:rPr>
        <w:t xml:space="preserve">que realiza Servicio al Ciudadano a las PQRSD, por medio del aplicativo denominado alarmas tempranas, donde se reporta de manera </w:t>
      </w:r>
      <w:r w:rsidR="008C0044">
        <w:rPr>
          <w:rFonts w:ascii="Arial" w:hAnsi="Arial" w:cs="Arial"/>
          <w:lang w:val="es-ES"/>
        </w:rPr>
        <w:t>semanal todos</w:t>
      </w:r>
      <w:r w:rsidR="00262BC0">
        <w:rPr>
          <w:rFonts w:ascii="Arial" w:hAnsi="Arial" w:cs="Arial"/>
          <w:lang w:val="es-ES"/>
        </w:rPr>
        <w:t xml:space="preserve"> </w:t>
      </w:r>
      <w:r w:rsidR="00262BC0" w:rsidRPr="00262BC0">
        <w:rPr>
          <w:rFonts w:ascii="Arial" w:hAnsi="Arial" w:cs="Arial"/>
          <w:lang w:val="es-ES"/>
        </w:rPr>
        <w:t xml:space="preserve">los requerimientos que tienen todas las dependencias de C.V.P., como método de prevención para el cierre de requerimientos dentro del tiempo </w:t>
      </w:r>
      <w:r w:rsidR="00262BC0">
        <w:rPr>
          <w:rFonts w:ascii="Arial" w:hAnsi="Arial" w:cs="Arial"/>
          <w:lang w:val="es-ES"/>
        </w:rPr>
        <w:t>establecido por la Ley</w:t>
      </w:r>
      <w:r w:rsidR="00262BC0" w:rsidRPr="00262BC0">
        <w:rPr>
          <w:rFonts w:ascii="Arial" w:hAnsi="Arial" w:cs="Arial"/>
          <w:lang w:val="es-ES"/>
        </w:rPr>
        <w:t xml:space="preserve">. </w:t>
      </w:r>
      <w:r w:rsidR="00262BC0">
        <w:rPr>
          <w:rFonts w:ascii="Arial" w:hAnsi="Arial" w:cs="Arial"/>
          <w:lang w:val="es-ES"/>
        </w:rPr>
        <w:t xml:space="preserve">Este reporte se envía </w:t>
      </w:r>
      <w:r w:rsidR="00262BC0" w:rsidRPr="00262BC0">
        <w:rPr>
          <w:rFonts w:ascii="Arial" w:hAnsi="Arial" w:cs="Arial"/>
          <w:lang w:val="es-ES"/>
        </w:rPr>
        <w:t xml:space="preserve"> a dependencia por dependencia.     </w:t>
      </w:r>
    </w:p>
    <w:p w14:paraId="173A5655" w14:textId="0D91BD6B" w:rsidR="005F716C" w:rsidRDefault="005F716C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2B1C5AA2" w14:textId="77777777" w:rsidR="00AE5344" w:rsidRDefault="00AE5344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12E7B53B" w14:textId="77777777" w:rsidR="00013143" w:rsidRDefault="00013143" w:rsidP="00986D26">
      <w:pPr>
        <w:spacing w:after="0" w:line="240" w:lineRule="auto"/>
        <w:jc w:val="both"/>
        <w:rPr>
          <w:rFonts w:ascii="Arial" w:hAnsi="Arial" w:cs="Arial"/>
          <w:lang w:val="es-ES"/>
        </w:rPr>
      </w:pPr>
    </w:p>
    <w:p w14:paraId="33AB1CB8" w14:textId="7AEFF085" w:rsidR="00573037" w:rsidRPr="007E2536" w:rsidRDefault="00262BC0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 xml:space="preserve">CARLOS FELIPE GAMBOA </w:t>
      </w:r>
      <w:proofErr w:type="spellStart"/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GAMBOA</w:t>
      </w:r>
      <w:proofErr w:type="spellEnd"/>
    </w:p>
    <w:p w14:paraId="46799FE0" w14:textId="77777777" w:rsidR="00573037" w:rsidRPr="007E2536" w:rsidRDefault="00573037" w:rsidP="00986D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</w:p>
    <w:p w14:paraId="42F736D5" w14:textId="77777777" w:rsidR="00573037" w:rsidRPr="007E2536" w:rsidRDefault="00573037" w:rsidP="00986D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3F3A1F" w14:textId="77777777" w:rsidR="00013143" w:rsidRPr="000A2537" w:rsidRDefault="00013143" w:rsidP="00013143">
      <w:pPr>
        <w:spacing w:after="0" w:line="240" w:lineRule="auto"/>
        <w:rPr>
          <w:sz w:val="18"/>
          <w:szCs w:val="18"/>
          <w:lang w:val="es-ES"/>
        </w:rPr>
      </w:pPr>
      <w:r w:rsidRPr="00B12016">
        <w:rPr>
          <w:sz w:val="18"/>
          <w:szCs w:val="18"/>
          <w:lang w:val="es-ES"/>
        </w:rPr>
        <w:t xml:space="preserve">Elaboro: </w:t>
      </w:r>
      <w:r>
        <w:rPr>
          <w:sz w:val="18"/>
          <w:szCs w:val="18"/>
          <w:lang w:val="es-ES"/>
        </w:rPr>
        <w:tab/>
      </w:r>
      <w:r w:rsidRPr="000A2537">
        <w:rPr>
          <w:sz w:val="18"/>
          <w:szCs w:val="18"/>
          <w:lang w:val="es-ES"/>
        </w:rPr>
        <w:t>Cesar Arbey Combita Cáceres - (Profesional Especializado-N-222-05)</w:t>
      </w:r>
    </w:p>
    <w:p w14:paraId="53A5A0E9" w14:textId="77777777" w:rsidR="00013143" w:rsidRPr="00B12016" w:rsidRDefault="00013143" w:rsidP="00013143">
      <w:pPr>
        <w:spacing w:after="0" w:line="240" w:lineRule="auto"/>
        <w:ind w:firstLine="708"/>
        <w:rPr>
          <w:sz w:val="18"/>
          <w:szCs w:val="18"/>
          <w:lang w:val="es-ES"/>
        </w:rPr>
      </w:pPr>
      <w:r w:rsidRPr="00B12016">
        <w:rPr>
          <w:sz w:val="18"/>
          <w:szCs w:val="18"/>
          <w:lang w:val="es-ES"/>
        </w:rPr>
        <w:t>Roberto Carlos Narvaez Cortes – Contrato # 47 de 2018</w:t>
      </w:r>
    </w:p>
    <w:p w14:paraId="12892DB4" w14:textId="5BC11BCD" w:rsidR="00573037" w:rsidRPr="00013143" w:rsidRDefault="00013143" w:rsidP="00CD06A7">
      <w:pPr>
        <w:spacing w:after="0" w:line="240" w:lineRule="auto"/>
        <w:rPr>
          <w:rFonts w:ascii="Arial" w:hAnsi="Arial" w:cs="Arial"/>
          <w:lang w:val="es-ES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ab/>
      </w:r>
      <w:r w:rsidRPr="00B12016">
        <w:rPr>
          <w:sz w:val="18"/>
          <w:szCs w:val="18"/>
          <w:lang w:val="es-ES"/>
        </w:rPr>
        <w:t>Darryn Calderón Trujillo – Contrato #281 de 2018</w:t>
      </w:r>
    </w:p>
    <w:sectPr w:rsidR="00573037" w:rsidRPr="00013143" w:rsidSect="009F646F">
      <w:headerReference w:type="default" r:id="rId15"/>
      <w:footerReference w:type="default" r:id="rId16"/>
      <w:pgSz w:w="12240" w:h="15840"/>
      <w:pgMar w:top="2268" w:right="1134" w:bottom="1134" w:left="1701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98D740" w14:textId="77777777" w:rsidR="00060662" w:rsidRDefault="00060662" w:rsidP="000C58E8">
      <w:pPr>
        <w:spacing w:after="0" w:line="240" w:lineRule="auto"/>
      </w:pPr>
      <w:r>
        <w:separator/>
      </w:r>
    </w:p>
  </w:endnote>
  <w:endnote w:type="continuationSeparator" w:id="0">
    <w:p w14:paraId="3BFECAF7" w14:textId="77777777" w:rsidR="00060662" w:rsidRDefault="00060662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087BE" w14:textId="77777777" w:rsidR="001D5E62" w:rsidRDefault="001D5E62" w:rsidP="0068086D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FF2A2" wp14:editId="2CEECC2C">
              <wp:simplePos x="0" y="0"/>
              <wp:positionH relativeFrom="column">
                <wp:posOffset>102870</wp:posOffset>
              </wp:positionH>
              <wp:positionV relativeFrom="paragraph">
                <wp:posOffset>38100</wp:posOffset>
              </wp:positionV>
              <wp:extent cx="859809" cy="368489"/>
              <wp:effectExtent l="0" t="0" r="16510" b="1270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809" cy="3684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18EB6" w14:textId="77777777" w:rsidR="001D5E62" w:rsidRDefault="001D5E62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</w:t>
                          </w:r>
                          <w:r>
                            <w:rPr>
                              <w:sz w:val="10"/>
                            </w:rPr>
                            <w:t>C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Ft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>
                            <w:rPr>
                              <w:sz w:val="10"/>
                            </w:rPr>
                            <w:t>02</w:t>
                          </w:r>
                        </w:p>
                        <w:p w14:paraId="7EAC98CE" w14:textId="77777777" w:rsidR="001D5E62" w:rsidRPr="00F70E87" w:rsidRDefault="001D5E62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</w:p>
                        <w:p w14:paraId="3E6F1BFC" w14:textId="77777777" w:rsidR="001D5E62" w:rsidRPr="00F70E87" w:rsidRDefault="001D5E62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>
                            <w:rPr>
                              <w:sz w:val="10"/>
                            </w:rPr>
                            <w:t>19/09/2017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E1FF2A2" id="2 Rectángulo" o:spid="_x0000_s1026" style="position:absolute;margin-left:8.1pt;margin-top:3pt;width:67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" fillcolor="white [3212]" strokecolor="white [3212]" strokeweight="2pt">
              <v:textbox>
                <w:txbxContent>
                  <w:p w14:paraId="09618EB6" w14:textId="77777777" w:rsidR="001D5E62" w:rsidRDefault="001D5E62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</w:t>
                    </w:r>
                    <w:r>
                      <w:rPr>
                        <w:sz w:val="10"/>
                      </w:rPr>
                      <w:t>C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Ft</w:t>
                    </w:r>
                    <w:r w:rsidRPr="00F70E87">
                      <w:rPr>
                        <w:sz w:val="10"/>
                      </w:rPr>
                      <w:t>-</w:t>
                    </w:r>
                    <w:r>
                      <w:rPr>
                        <w:sz w:val="10"/>
                      </w:rPr>
                      <w:t>02</w:t>
                    </w:r>
                  </w:p>
                  <w:p w14:paraId="7EAC98CE" w14:textId="77777777" w:rsidR="001D5E62" w:rsidRPr="00F70E87" w:rsidRDefault="001D5E62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</w:p>
                  <w:p w14:paraId="3E6F1BFC" w14:textId="77777777" w:rsidR="001D5E62" w:rsidRPr="00F70E87" w:rsidRDefault="001D5E62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>
                      <w:rPr>
                        <w:sz w:val="10"/>
                      </w:rPr>
                      <w:t>19/09/2017</w:t>
                    </w:r>
                  </w:p>
                </w:txbxContent>
              </v:textbox>
            </v:rect>
          </w:pict>
        </mc:Fallback>
      </mc:AlternateContent>
    </w:r>
  </w:p>
  <w:p w14:paraId="7484529F" w14:textId="77777777" w:rsidR="001D5E62" w:rsidRDefault="001D5E62" w:rsidP="00D90C2B">
    <w:pPr>
      <w:pStyle w:val="Piedepgina"/>
      <w:ind w:left="-1701"/>
      <w:jc w:val="right"/>
    </w:pPr>
    <w:r w:rsidRPr="00662E6F">
      <w:rPr>
        <w:noProof/>
        <w:lang w:eastAsia="es-CO"/>
      </w:rPr>
      <w:drawing>
        <wp:inline distT="0" distB="0" distL="0" distR="0" wp14:anchorId="1A13D813" wp14:editId="230F7779">
          <wp:extent cx="6031230" cy="980983"/>
          <wp:effectExtent l="0" t="0" r="0" b="0"/>
          <wp:docPr id="13" name="Imagen 13" descr="Z:\cmgarcia\Marcela Calidad\29. PLANTILLAS\plantilla_in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mgarcia\Marcela Calidad\29. PLANTILLAS\plantilla_in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7422" cy="988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E48DD" w14:textId="77777777" w:rsidR="00060662" w:rsidRDefault="00060662" w:rsidP="000C58E8">
      <w:pPr>
        <w:spacing w:after="0" w:line="240" w:lineRule="auto"/>
      </w:pPr>
      <w:r>
        <w:separator/>
      </w:r>
    </w:p>
  </w:footnote>
  <w:footnote w:type="continuationSeparator" w:id="0">
    <w:p w14:paraId="3C7BBDB4" w14:textId="77777777" w:rsidR="00060662" w:rsidRDefault="00060662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BFE3D" w14:textId="375A623E" w:rsidR="001D5E62" w:rsidRDefault="001D5E62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5087BA80" wp14:editId="020AA9C7">
          <wp:extent cx="900000" cy="900000"/>
          <wp:effectExtent l="0" t="0" r="0" b="0"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77BE5D" w14:textId="77777777" w:rsidR="001D5E62" w:rsidRPr="003A0989" w:rsidRDefault="001D5E62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5D3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0707F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A22F6"/>
    <w:multiLevelType w:val="hybridMultilevel"/>
    <w:tmpl w:val="DC2E69AE"/>
    <w:lvl w:ilvl="0" w:tplc="9C96D5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775B"/>
    <w:multiLevelType w:val="hybridMultilevel"/>
    <w:tmpl w:val="7A36F29E"/>
    <w:lvl w:ilvl="0" w:tplc="37AE5A6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26B3FA3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4558A3"/>
    <w:multiLevelType w:val="hybridMultilevel"/>
    <w:tmpl w:val="2F7E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408DD"/>
    <w:multiLevelType w:val="hybridMultilevel"/>
    <w:tmpl w:val="901AA67A"/>
    <w:lvl w:ilvl="0" w:tplc="010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28083A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3"/>
  </w:num>
  <w:num w:numId="7">
    <w:abstractNumId w:val="4"/>
  </w:num>
  <w:num w:numId="8">
    <w:abstractNumId w:val="5"/>
  </w:num>
  <w:num w:numId="9">
    <w:abstractNumId w:val="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241A"/>
    <w:rsid w:val="0000332F"/>
    <w:rsid w:val="00004084"/>
    <w:rsid w:val="00007FED"/>
    <w:rsid w:val="00010D28"/>
    <w:rsid w:val="000126F7"/>
    <w:rsid w:val="00013143"/>
    <w:rsid w:val="00013CBB"/>
    <w:rsid w:val="00016A00"/>
    <w:rsid w:val="00020B7A"/>
    <w:rsid w:val="0002185B"/>
    <w:rsid w:val="00022CEF"/>
    <w:rsid w:val="00024F22"/>
    <w:rsid w:val="000256D8"/>
    <w:rsid w:val="0002570C"/>
    <w:rsid w:val="00026DD7"/>
    <w:rsid w:val="00031F3B"/>
    <w:rsid w:val="00035131"/>
    <w:rsid w:val="00035CD0"/>
    <w:rsid w:val="000401F3"/>
    <w:rsid w:val="000411B1"/>
    <w:rsid w:val="00041503"/>
    <w:rsid w:val="00041928"/>
    <w:rsid w:val="00047C2A"/>
    <w:rsid w:val="00051199"/>
    <w:rsid w:val="000513EE"/>
    <w:rsid w:val="00052FF9"/>
    <w:rsid w:val="00055147"/>
    <w:rsid w:val="00060662"/>
    <w:rsid w:val="000607EB"/>
    <w:rsid w:val="000632BE"/>
    <w:rsid w:val="00064339"/>
    <w:rsid w:val="00064D3C"/>
    <w:rsid w:val="00070B19"/>
    <w:rsid w:val="00085959"/>
    <w:rsid w:val="00086106"/>
    <w:rsid w:val="00087CA8"/>
    <w:rsid w:val="0009063A"/>
    <w:rsid w:val="0009132F"/>
    <w:rsid w:val="00091AA9"/>
    <w:rsid w:val="00093A2F"/>
    <w:rsid w:val="00093DD9"/>
    <w:rsid w:val="00094CB8"/>
    <w:rsid w:val="00097185"/>
    <w:rsid w:val="0009748E"/>
    <w:rsid w:val="000A1AD9"/>
    <w:rsid w:val="000A274B"/>
    <w:rsid w:val="000A48C0"/>
    <w:rsid w:val="000A5EA7"/>
    <w:rsid w:val="000B4050"/>
    <w:rsid w:val="000B43A1"/>
    <w:rsid w:val="000B57E4"/>
    <w:rsid w:val="000C06DC"/>
    <w:rsid w:val="000C28AD"/>
    <w:rsid w:val="000C3AB9"/>
    <w:rsid w:val="000C4A79"/>
    <w:rsid w:val="000C58E8"/>
    <w:rsid w:val="000D2B0C"/>
    <w:rsid w:val="000D3265"/>
    <w:rsid w:val="000D4743"/>
    <w:rsid w:val="000D608A"/>
    <w:rsid w:val="000D72BC"/>
    <w:rsid w:val="000E07CD"/>
    <w:rsid w:val="000E20E8"/>
    <w:rsid w:val="000E4B0C"/>
    <w:rsid w:val="000E6A61"/>
    <w:rsid w:val="000F094D"/>
    <w:rsid w:val="000F0C13"/>
    <w:rsid w:val="000F44CD"/>
    <w:rsid w:val="000F460D"/>
    <w:rsid w:val="00102D2B"/>
    <w:rsid w:val="00102FDB"/>
    <w:rsid w:val="0010389A"/>
    <w:rsid w:val="00104B4B"/>
    <w:rsid w:val="001071ED"/>
    <w:rsid w:val="00107315"/>
    <w:rsid w:val="00107920"/>
    <w:rsid w:val="00107E55"/>
    <w:rsid w:val="00114827"/>
    <w:rsid w:val="001166B3"/>
    <w:rsid w:val="00121A1B"/>
    <w:rsid w:val="001265A1"/>
    <w:rsid w:val="001265B1"/>
    <w:rsid w:val="00131867"/>
    <w:rsid w:val="001421EA"/>
    <w:rsid w:val="00142242"/>
    <w:rsid w:val="00146BDC"/>
    <w:rsid w:val="00153273"/>
    <w:rsid w:val="00153761"/>
    <w:rsid w:val="0015415E"/>
    <w:rsid w:val="001569A0"/>
    <w:rsid w:val="001648FA"/>
    <w:rsid w:val="0016619D"/>
    <w:rsid w:val="00170D45"/>
    <w:rsid w:val="00173908"/>
    <w:rsid w:val="001772F7"/>
    <w:rsid w:val="00182A32"/>
    <w:rsid w:val="001848F9"/>
    <w:rsid w:val="0018498E"/>
    <w:rsid w:val="00184E05"/>
    <w:rsid w:val="001853AB"/>
    <w:rsid w:val="001866BD"/>
    <w:rsid w:val="00190535"/>
    <w:rsid w:val="00192E63"/>
    <w:rsid w:val="00195264"/>
    <w:rsid w:val="001964B7"/>
    <w:rsid w:val="001A10D4"/>
    <w:rsid w:val="001A17FE"/>
    <w:rsid w:val="001A265C"/>
    <w:rsid w:val="001A2715"/>
    <w:rsid w:val="001A4303"/>
    <w:rsid w:val="001A5856"/>
    <w:rsid w:val="001B1BEE"/>
    <w:rsid w:val="001B1E55"/>
    <w:rsid w:val="001B6332"/>
    <w:rsid w:val="001B78D3"/>
    <w:rsid w:val="001C59BC"/>
    <w:rsid w:val="001C6C7D"/>
    <w:rsid w:val="001C710A"/>
    <w:rsid w:val="001D0E13"/>
    <w:rsid w:val="001D3EFC"/>
    <w:rsid w:val="001D4F5C"/>
    <w:rsid w:val="001D5963"/>
    <w:rsid w:val="001D5E62"/>
    <w:rsid w:val="001D60A8"/>
    <w:rsid w:val="001E73E6"/>
    <w:rsid w:val="001F122C"/>
    <w:rsid w:val="001F1EA7"/>
    <w:rsid w:val="001F44C8"/>
    <w:rsid w:val="0020455E"/>
    <w:rsid w:val="00220219"/>
    <w:rsid w:val="0022130F"/>
    <w:rsid w:val="002236BD"/>
    <w:rsid w:val="0022503E"/>
    <w:rsid w:val="002260C2"/>
    <w:rsid w:val="00226882"/>
    <w:rsid w:val="00227365"/>
    <w:rsid w:val="00236A81"/>
    <w:rsid w:val="00236D7D"/>
    <w:rsid w:val="00237083"/>
    <w:rsid w:val="0023713A"/>
    <w:rsid w:val="0023755D"/>
    <w:rsid w:val="00237FE8"/>
    <w:rsid w:val="00240248"/>
    <w:rsid w:val="002421A6"/>
    <w:rsid w:val="002447C2"/>
    <w:rsid w:val="002515D9"/>
    <w:rsid w:val="00257BAE"/>
    <w:rsid w:val="00262BC0"/>
    <w:rsid w:val="00266DD0"/>
    <w:rsid w:val="00267623"/>
    <w:rsid w:val="00271E23"/>
    <w:rsid w:val="00272778"/>
    <w:rsid w:val="00272CC7"/>
    <w:rsid w:val="0027370C"/>
    <w:rsid w:val="00275724"/>
    <w:rsid w:val="00280E1C"/>
    <w:rsid w:val="00290983"/>
    <w:rsid w:val="002932C2"/>
    <w:rsid w:val="002A0552"/>
    <w:rsid w:val="002A423E"/>
    <w:rsid w:val="002A568E"/>
    <w:rsid w:val="002A627C"/>
    <w:rsid w:val="002A67E2"/>
    <w:rsid w:val="002A7E10"/>
    <w:rsid w:val="002B481F"/>
    <w:rsid w:val="002B4943"/>
    <w:rsid w:val="002B6BB3"/>
    <w:rsid w:val="002B7E85"/>
    <w:rsid w:val="002C2E27"/>
    <w:rsid w:val="002C3234"/>
    <w:rsid w:val="002C5683"/>
    <w:rsid w:val="002C5D7A"/>
    <w:rsid w:val="002C6633"/>
    <w:rsid w:val="002C67B6"/>
    <w:rsid w:val="002E5726"/>
    <w:rsid w:val="002F23F2"/>
    <w:rsid w:val="002F5BEF"/>
    <w:rsid w:val="00300192"/>
    <w:rsid w:val="00303144"/>
    <w:rsid w:val="00304439"/>
    <w:rsid w:val="00306CA2"/>
    <w:rsid w:val="00307099"/>
    <w:rsid w:val="00316A6B"/>
    <w:rsid w:val="003170D9"/>
    <w:rsid w:val="0032091A"/>
    <w:rsid w:val="00320B46"/>
    <w:rsid w:val="00321463"/>
    <w:rsid w:val="003219DC"/>
    <w:rsid w:val="003231A9"/>
    <w:rsid w:val="0033255F"/>
    <w:rsid w:val="0033526E"/>
    <w:rsid w:val="00342FF5"/>
    <w:rsid w:val="0034484E"/>
    <w:rsid w:val="00346F30"/>
    <w:rsid w:val="003505A2"/>
    <w:rsid w:val="00356E8C"/>
    <w:rsid w:val="003602FC"/>
    <w:rsid w:val="003675ED"/>
    <w:rsid w:val="003719BA"/>
    <w:rsid w:val="00371B2D"/>
    <w:rsid w:val="0037273D"/>
    <w:rsid w:val="00372C64"/>
    <w:rsid w:val="00377740"/>
    <w:rsid w:val="00380632"/>
    <w:rsid w:val="00381824"/>
    <w:rsid w:val="00381A95"/>
    <w:rsid w:val="00390818"/>
    <w:rsid w:val="00394378"/>
    <w:rsid w:val="0039490D"/>
    <w:rsid w:val="003A0989"/>
    <w:rsid w:val="003A2EF8"/>
    <w:rsid w:val="003A475D"/>
    <w:rsid w:val="003B3C52"/>
    <w:rsid w:val="003B51E8"/>
    <w:rsid w:val="003B7734"/>
    <w:rsid w:val="003C739C"/>
    <w:rsid w:val="003D08FF"/>
    <w:rsid w:val="003D0B44"/>
    <w:rsid w:val="003D10D1"/>
    <w:rsid w:val="003D4690"/>
    <w:rsid w:val="003E0DC7"/>
    <w:rsid w:val="003E58FE"/>
    <w:rsid w:val="003E74EB"/>
    <w:rsid w:val="003F009A"/>
    <w:rsid w:val="003F2387"/>
    <w:rsid w:val="003F28DC"/>
    <w:rsid w:val="003F70B2"/>
    <w:rsid w:val="004017F6"/>
    <w:rsid w:val="00407C6F"/>
    <w:rsid w:val="00413BA8"/>
    <w:rsid w:val="00414458"/>
    <w:rsid w:val="004175F7"/>
    <w:rsid w:val="0042594F"/>
    <w:rsid w:val="00427445"/>
    <w:rsid w:val="00432C6B"/>
    <w:rsid w:val="00433F41"/>
    <w:rsid w:val="004368FD"/>
    <w:rsid w:val="00436B32"/>
    <w:rsid w:val="004373E1"/>
    <w:rsid w:val="00437EE1"/>
    <w:rsid w:val="0044056B"/>
    <w:rsid w:val="00440592"/>
    <w:rsid w:val="0044113E"/>
    <w:rsid w:val="0044117F"/>
    <w:rsid w:val="0044783D"/>
    <w:rsid w:val="00450FED"/>
    <w:rsid w:val="00451CFF"/>
    <w:rsid w:val="00453F1B"/>
    <w:rsid w:val="00457866"/>
    <w:rsid w:val="00457A92"/>
    <w:rsid w:val="004610E1"/>
    <w:rsid w:val="00467BA5"/>
    <w:rsid w:val="004705E1"/>
    <w:rsid w:val="00472E6B"/>
    <w:rsid w:val="004754CD"/>
    <w:rsid w:val="00483186"/>
    <w:rsid w:val="00496713"/>
    <w:rsid w:val="00496831"/>
    <w:rsid w:val="00496850"/>
    <w:rsid w:val="00497B49"/>
    <w:rsid w:val="004A6D75"/>
    <w:rsid w:val="004A7C00"/>
    <w:rsid w:val="004B057D"/>
    <w:rsid w:val="004B410B"/>
    <w:rsid w:val="004B4B70"/>
    <w:rsid w:val="004B6947"/>
    <w:rsid w:val="004B70D5"/>
    <w:rsid w:val="004B7280"/>
    <w:rsid w:val="004B78BD"/>
    <w:rsid w:val="004C0826"/>
    <w:rsid w:val="004C36B2"/>
    <w:rsid w:val="004C5319"/>
    <w:rsid w:val="004D1B2E"/>
    <w:rsid w:val="004E12B7"/>
    <w:rsid w:val="004E1CB2"/>
    <w:rsid w:val="004E45A9"/>
    <w:rsid w:val="004E7065"/>
    <w:rsid w:val="004F13BC"/>
    <w:rsid w:val="004F1859"/>
    <w:rsid w:val="004F1FDE"/>
    <w:rsid w:val="004F2B02"/>
    <w:rsid w:val="004F3D51"/>
    <w:rsid w:val="004F7C3F"/>
    <w:rsid w:val="0050045F"/>
    <w:rsid w:val="00501E7D"/>
    <w:rsid w:val="0050265B"/>
    <w:rsid w:val="00502DEC"/>
    <w:rsid w:val="00503226"/>
    <w:rsid w:val="00504783"/>
    <w:rsid w:val="0050520F"/>
    <w:rsid w:val="005053CD"/>
    <w:rsid w:val="00514719"/>
    <w:rsid w:val="00515249"/>
    <w:rsid w:val="00516EAB"/>
    <w:rsid w:val="00517B01"/>
    <w:rsid w:val="005210F8"/>
    <w:rsid w:val="00521843"/>
    <w:rsid w:val="00523937"/>
    <w:rsid w:val="00525068"/>
    <w:rsid w:val="00526818"/>
    <w:rsid w:val="00526B4E"/>
    <w:rsid w:val="005322FA"/>
    <w:rsid w:val="005349DD"/>
    <w:rsid w:val="005358E5"/>
    <w:rsid w:val="00536625"/>
    <w:rsid w:val="005407C4"/>
    <w:rsid w:val="00541C1D"/>
    <w:rsid w:val="005434A4"/>
    <w:rsid w:val="00544207"/>
    <w:rsid w:val="005531E6"/>
    <w:rsid w:val="005636A9"/>
    <w:rsid w:val="005641DD"/>
    <w:rsid w:val="00565D66"/>
    <w:rsid w:val="005677F7"/>
    <w:rsid w:val="00573037"/>
    <w:rsid w:val="005767C9"/>
    <w:rsid w:val="0058130E"/>
    <w:rsid w:val="00583C9B"/>
    <w:rsid w:val="00584984"/>
    <w:rsid w:val="005913C1"/>
    <w:rsid w:val="00591D8A"/>
    <w:rsid w:val="00592C7E"/>
    <w:rsid w:val="005933CD"/>
    <w:rsid w:val="0059795A"/>
    <w:rsid w:val="005A2479"/>
    <w:rsid w:val="005A2A8E"/>
    <w:rsid w:val="005A3975"/>
    <w:rsid w:val="005A431E"/>
    <w:rsid w:val="005A5286"/>
    <w:rsid w:val="005A6BD9"/>
    <w:rsid w:val="005A6D0F"/>
    <w:rsid w:val="005B1B37"/>
    <w:rsid w:val="005C12A1"/>
    <w:rsid w:val="005C1BEC"/>
    <w:rsid w:val="005C7A06"/>
    <w:rsid w:val="005D2141"/>
    <w:rsid w:val="005D3CB7"/>
    <w:rsid w:val="005D45E6"/>
    <w:rsid w:val="005D4910"/>
    <w:rsid w:val="005D4B38"/>
    <w:rsid w:val="005D6B51"/>
    <w:rsid w:val="005E30F2"/>
    <w:rsid w:val="005E6AA6"/>
    <w:rsid w:val="005F3F79"/>
    <w:rsid w:val="005F716C"/>
    <w:rsid w:val="005F7580"/>
    <w:rsid w:val="006052E3"/>
    <w:rsid w:val="0062351C"/>
    <w:rsid w:val="00625EB7"/>
    <w:rsid w:val="00626A4D"/>
    <w:rsid w:val="006278BF"/>
    <w:rsid w:val="00631184"/>
    <w:rsid w:val="00631927"/>
    <w:rsid w:val="00631DAE"/>
    <w:rsid w:val="006321A1"/>
    <w:rsid w:val="0063334B"/>
    <w:rsid w:val="006363F9"/>
    <w:rsid w:val="00636FCF"/>
    <w:rsid w:val="00640ED7"/>
    <w:rsid w:val="00641B23"/>
    <w:rsid w:val="00643F71"/>
    <w:rsid w:val="00647C73"/>
    <w:rsid w:val="00656F21"/>
    <w:rsid w:val="00657342"/>
    <w:rsid w:val="00661655"/>
    <w:rsid w:val="00661865"/>
    <w:rsid w:val="0066287A"/>
    <w:rsid w:val="00662E6F"/>
    <w:rsid w:val="0066636B"/>
    <w:rsid w:val="006722A0"/>
    <w:rsid w:val="006726D3"/>
    <w:rsid w:val="006748C3"/>
    <w:rsid w:val="00675377"/>
    <w:rsid w:val="0068086D"/>
    <w:rsid w:val="00680D00"/>
    <w:rsid w:val="0068491C"/>
    <w:rsid w:val="00684C26"/>
    <w:rsid w:val="00686729"/>
    <w:rsid w:val="00686ECA"/>
    <w:rsid w:val="006877F8"/>
    <w:rsid w:val="006879BE"/>
    <w:rsid w:val="006C0A80"/>
    <w:rsid w:val="006C0C92"/>
    <w:rsid w:val="006C3770"/>
    <w:rsid w:val="006C7FDF"/>
    <w:rsid w:val="006D0BC3"/>
    <w:rsid w:val="006D6C21"/>
    <w:rsid w:val="006D7D24"/>
    <w:rsid w:val="006E04DD"/>
    <w:rsid w:val="006E0E35"/>
    <w:rsid w:val="006E19D3"/>
    <w:rsid w:val="006E248E"/>
    <w:rsid w:val="006E25FC"/>
    <w:rsid w:val="006F4128"/>
    <w:rsid w:val="006F47A2"/>
    <w:rsid w:val="006F7CFF"/>
    <w:rsid w:val="00703837"/>
    <w:rsid w:val="007064CD"/>
    <w:rsid w:val="00707479"/>
    <w:rsid w:val="00711BE8"/>
    <w:rsid w:val="00716399"/>
    <w:rsid w:val="00724BB3"/>
    <w:rsid w:val="0072652C"/>
    <w:rsid w:val="00727835"/>
    <w:rsid w:val="0073069D"/>
    <w:rsid w:val="007314E1"/>
    <w:rsid w:val="00733261"/>
    <w:rsid w:val="00735BFC"/>
    <w:rsid w:val="00740325"/>
    <w:rsid w:val="007464D1"/>
    <w:rsid w:val="007541F2"/>
    <w:rsid w:val="0075712D"/>
    <w:rsid w:val="007574A0"/>
    <w:rsid w:val="00757934"/>
    <w:rsid w:val="00757A38"/>
    <w:rsid w:val="007608C9"/>
    <w:rsid w:val="00760AC7"/>
    <w:rsid w:val="007611AF"/>
    <w:rsid w:val="00764402"/>
    <w:rsid w:val="00765BAF"/>
    <w:rsid w:val="007660D8"/>
    <w:rsid w:val="007711A3"/>
    <w:rsid w:val="007711D1"/>
    <w:rsid w:val="007746A0"/>
    <w:rsid w:val="007748BA"/>
    <w:rsid w:val="00776343"/>
    <w:rsid w:val="007770E7"/>
    <w:rsid w:val="00780CD8"/>
    <w:rsid w:val="00783669"/>
    <w:rsid w:val="0078586E"/>
    <w:rsid w:val="00790031"/>
    <w:rsid w:val="0079233C"/>
    <w:rsid w:val="007941A9"/>
    <w:rsid w:val="0079486A"/>
    <w:rsid w:val="007961F5"/>
    <w:rsid w:val="007A3BE1"/>
    <w:rsid w:val="007B5930"/>
    <w:rsid w:val="007B63BE"/>
    <w:rsid w:val="007C2E0F"/>
    <w:rsid w:val="007C5F1F"/>
    <w:rsid w:val="007D037F"/>
    <w:rsid w:val="007D057B"/>
    <w:rsid w:val="007D2793"/>
    <w:rsid w:val="007D3FB4"/>
    <w:rsid w:val="007D4781"/>
    <w:rsid w:val="007D5A96"/>
    <w:rsid w:val="007D7687"/>
    <w:rsid w:val="007E0429"/>
    <w:rsid w:val="007E046B"/>
    <w:rsid w:val="007E084F"/>
    <w:rsid w:val="007E0B42"/>
    <w:rsid w:val="007E13CA"/>
    <w:rsid w:val="007E2536"/>
    <w:rsid w:val="007E29E1"/>
    <w:rsid w:val="007F1662"/>
    <w:rsid w:val="007F3113"/>
    <w:rsid w:val="007F4377"/>
    <w:rsid w:val="007F5315"/>
    <w:rsid w:val="007F62AA"/>
    <w:rsid w:val="007F64D2"/>
    <w:rsid w:val="007F75CC"/>
    <w:rsid w:val="007F7FAA"/>
    <w:rsid w:val="00801B28"/>
    <w:rsid w:val="0080399A"/>
    <w:rsid w:val="0080497E"/>
    <w:rsid w:val="008079D6"/>
    <w:rsid w:val="00810E75"/>
    <w:rsid w:val="0081152E"/>
    <w:rsid w:val="008135A6"/>
    <w:rsid w:val="00814835"/>
    <w:rsid w:val="00825DB4"/>
    <w:rsid w:val="0083356C"/>
    <w:rsid w:val="0083735B"/>
    <w:rsid w:val="0084256B"/>
    <w:rsid w:val="008449DE"/>
    <w:rsid w:val="008463D1"/>
    <w:rsid w:val="00846B49"/>
    <w:rsid w:val="00847DE4"/>
    <w:rsid w:val="00856624"/>
    <w:rsid w:val="00862140"/>
    <w:rsid w:val="00866324"/>
    <w:rsid w:val="008708B6"/>
    <w:rsid w:val="00872F64"/>
    <w:rsid w:val="00875642"/>
    <w:rsid w:val="00875C37"/>
    <w:rsid w:val="00881623"/>
    <w:rsid w:val="008846C8"/>
    <w:rsid w:val="00885DD6"/>
    <w:rsid w:val="00892974"/>
    <w:rsid w:val="00892A3B"/>
    <w:rsid w:val="00894029"/>
    <w:rsid w:val="00894589"/>
    <w:rsid w:val="00895681"/>
    <w:rsid w:val="00896333"/>
    <w:rsid w:val="00897077"/>
    <w:rsid w:val="00897808"/>
    <w:rsid w:val="00897B51"/>
    <w:rsid w:val="008A274A"/>
    <w:rsid w:val="008A6624"/>
    <w:rsid w:val="008A7135"/>
    <w:rsid w:val="008B1713"/>
    <w:rsid w:val="008B1E7B"/>
    <w:rsid w:val="008B31F7"/>
    <w:rsid w:val="008B38A3"/>
    <w:rsid w:val="008C0044"/>
    <w:rsid w:val="008C2503"/>
    <w:rsid w:val="008C28B2"/>
    <w:rsid w:val="008C2C5B"/>
    <w:rsid w:val="008C59BF"/>
    <w:rsid w:val="008C6395"/>
    <w:rsid w:val="008C6CFC"/>
    <w:rsid w:val="008D17AA"/>
    <w:rsid w:val="008D4035"/>
    <w:rsid w:val="008D7822"/>
    <w:rsid w:val="008E1594"/>
    <w:rsid w:val="008E1934"/>
    <w:rsid w:val="008E19BB"/>
    <w:rsid w:val="008F17DC"/>
    <w:rsid w:val="008F5245"/>
    <w:rsid w:val="008F684E"/>
    <w:rsid w:val="008F7AD3"/>
    <w:rsid w:val="0090045D"/>
    <w:rsid w:val="00900466"/>
    <w:rsid w:val="0090065B"/>
    <w:rsid w:val="0090142D"/>
    <w:rsid w:val="00901F24"/>
    <w:rsid w:val="00905CE5"/>
    <w:rsid w:val="00907754"/>
    <w:rsid w:val="00910F69"/>
    <w:rsid w:val="009129A2"/>
    <w:rsid w:val="00915296"/>
    <w:rsid w:val="009158EC"/>
    <w:rsid w:val="00916014"/>
    <w:rsid w:val="00917AAD"/>
    <w:rsid w:val="00921F1E"/>
    <w:rsid w:val="009225EF"/>
    <w:rsid w:val="00924B6C"/>
    <w:rsid w:val="00930BBB"/>
    <w:rsid w:val="00930DD0"/>
    <w:rsid w:val="00931483"/>
    <w:rsid w:val="00940D37"/>
    <w:rsid w:val="00942C52"/>
    <w:rsid w:val="009442B2"/>
    <w:rsid w:val="00944EFB"/>
    <w:rsid w:val="0094548F"/>
    <w:rsid w:val="00945EF7"/>
    <w:rsid w:val="00946E31"/>
    <w:rsid w:val="00950BF7"/>
    <w:rsid w:val="009520F3"/>
    <w:rsid w:val="009531C7"/>
    <w:rsid w:val="009532B2"/>
    <w:rsid w:val="00954651"/>
    <w:rsid w:val="009554B9"/>
    <w:rsid w:val="009564FB"/>
    <w:rsid w:val="0095722A"/>
    <w:rsid w:val="009637B5"/>
    <w:rsid w:val="00963A5A"/>
    <w:rsid w:val="00965EDB"/>
    <w:rsid w:val="00967E9B"/>
    <w:rsid w:val="009723C5"/>
    <w:rsid w:val="009732B4"/>
    <w:rsid w:val="00973B09"/>
    <w:rsid w:val="0098346C"/>
    <w:rsid w:val="00986BB2"/>
    <w:rsid w:val="00986D26"/>
    <w:rsid w:val="009911E7"/>
    <w:rsid w:val="009915D7"/>
    <w:rsid w:val="00991FCB"/>
    <w:rsid w:val="00994D22"/>
    <w:rsid w:val="009A231D"/>
    <w:rsid w:val="009A40CF"/>
    <w:rsid w:val="009A6047"/>
    <w:rsid w:val="009A696A"/>
    <w:rsid w:val="009B0119"/>
    <w:rsid w:val="009B67AA"/>
    <w:rsid w:val="009B6D6A"/>
    <w:rsid w:val="009C0399"/>
    <w:rsid w:val="009C09B3"/>
    <w:rsid w:val="009C0E18"/>
    <w:rsid w:val="009C26BE"/>
    <w:rsid w:val="009C2B9F"/>
    <w:rsid w:val="009C532A"/>
    <w:rsid w:val="009C6285"/>
    <w:rsid w:val="009C6BEA"/>
    <w:rsid w:val="009D31F8"/>
    <w:rsid w:val="009D7E21"/>
    <w:rsid w:val="009E0011"/>
    <w:rsid w:val="009E2F82"/>
    <w:rsid w:val="009E3A6E"/>
    <w:rsid w:val="009E3CC8"/>
    <w:rsid w:val="009E3FC7"/>
    <w:rsid w:val="009E5EEB"/>
    <w:rsid w:val="009E626E"/>
    <w:rsid w:val="009E7865"/>
    <w:rsid w:val="009F2F2A"/>
    <w:rsid w:val="009F6247"/>
    <w:rsid w:val="009F646F"/>
    <w:rsid w:val="009F7F37"/>
    <w:rsid w:val="00A01F56"/>
    <w:rsid w:val="00A0319E"/>
    <w:rsid w:val="00A03A3D"/>
    <w:rsid w:val="00A05BD0"/>
    <w:rsid w:val="00A05D78"/>
    <w:rsid w:val="00A07E6D"/>
    <w:rsid w:val="00A11271"/>
    <w:rsid w:val="00A13E71"/>
    <w:rsid w:val="00A149DF"/>
    <w:rsid w:val="00A14AE2"/>
    <w:rsid w:val="00A161E5"/>
    <w:rsid w:val="00A17DBB"/>
    <w:rsid w:val="00A21DBB"/>
    <w:rsid w:val="00A23624"/>
    <w:rsid w:val="00A263A7"/>
    <w:rsid w:val="00A3200C"/>
    <w:rsid w:val="00A3417F"/>
    <w:rsid w:val="00A355C8"/>
    <w:rsid w:val="00A41D04"/>
    <w:rsid w:val="00A4524D"/>
    <w:rsid w:val="00A4569F"/>
    <w:rsid w:val="00A640A4"/>
    <w:rsid w:val="00A65D31"/>
    <w:rsid w:val="00A66F83"/>
    <w:rsid w:val="00A676E6"/>
    <w:rsid w:val="00A711E1"/>
    <w:rsid w:val="00A8143C"/>
    <w:rsid w:val="00A837C4"/>
    <w:rsid w:val="00A84DF9"/>
    <w:rsid w:val="00A91970"/>
    <w:rsid w:val="00A93564"/>
    <w:rsid w:val="00A947CB"/>
    <w:rsid w:val="00AA3B67"/>
    <w:rsid w:val="00AA6D4E"/>
    <w:rsid w:val="00AB0E65"/>
    <w:rsid w:val="00AB2490"/>
    <w:rsid w:val="00AB346A"/>
    <w:rsid w:val="00AB4634"/>
    <w:rsid w:val="00AB57AB"/>
    <w:rsid w:val="00AB5C03"/>
    <w:rsid w:val="00AB6A48"/>
    <w:rsid w:val="00AC282B"/>
    <w:rsid w:val="00AC4110"/>
    <w:rsid w:val="00AD7BEC"/>
    <w:rsid w:val="00AE08DB"/>
    <w:rsid w:val="00AE173B"/>
    <w:rsid w:val="00AE3424"/>
    <w:rsid w:val="00AE5344"/>
    <w:rsid w:val="00AE60F6"/>
    <w:rsid w:val="00AE799D"/>
    <w:rsid w:val="00AF03BB"/>
    <w:rsid w:val="00AF0DE3"/>
    <w:rsid w:val="00AF1463"/>
    <w:rsid w:val="00AF2D2C"/>
    <w:rsid w:val="00AF5065"/>
    <w:rsid w:val="00AF5886"/>
    <w:rsid w:val="00AF74C9"/>
    <w:rsid w:val="00B02082"/>
    <w:rsid w:val="00B0512F"/>
    <w:rsid w:val="00B12016"/>
    <w:rsid w:val="00B14385"/>
    <w:rsid w:val="00B164D4"/>
    <w:rsid w:val="00B201F9"/>
    <w:rsid w:val="00B21446"/>
    <w:rsid w:val="00B22E58"/>
    <w:rsid w:val="00B23926"/>
    <w:rsid w:val="00B24B3C"/>
    <w:rsid w:val="00B267F7"/>
    <w:rsid w:val="00B35DF2"/>
    <w:rsid w:val="00B360A3"/>
    <w:rsid w:val="00B37E0D"/>
    <w:rsid w:val="00B4065E"/>
    <w:rsid w:val="00B40A6A"/>
    <w:rsid w:val="00B41B76"/>
    <w:rsid w:val="00B4307C"/>
    <w:rsid w:val="00B4471B"/>
    <w:rsid w:val="00B51E1A"/>
    <w:rsid w:val="00B53D1F"/>
    <w:rsid w:val="00B554B5"/>
    <w:rsid w:val="00B6170B"/>
    <w:rsid w:val="00B63A48"/>
    <w:rsid w:val="00B6462F"/>
    <w:rsid w:val="00B648C5"/>
    <w:rsid w:val="00B65688"/>
    <w:rsid w:val="00B66BA6"/>
    <w:rsid w:val="00B7380D"/>
    <w:rsid w:val="00B74399"/>
    <w:rsid w:val="00B750A7"/>
    <w:rsid w:val="00B8054C"/>
    <w:rsid w:val="00B82383"/>
    <w:rsid w:val="00B8645C"/>
    <w:rsid w:val="00B920F2"/>
    <w:rsid w:val="00B9424D"/>
    <w:rsid w:val="00B94404"/>
    <w:rsid w:val="00B96C38"/>
    <w:rsid w:val="00BA09FE"/>
    <w:rsid w:val="00BA1560"/>
    <w:rsid w:val="00BA2636"/>
    <w:rsid w:val="00BA27E1"/>
    <w:rsid w:val="00BA373C"/>
    <w:rsid w:val="00BA3FCF"/>
    <w:rsid w:val="00BA5BC1"/>
    <w:rsid w:val="00BA6116"/>
    <w:rsid w:val="00BA6250"/>
    <w:rsid w:val="00BB052E"/>
    <w:rsid w:val="00BB0955"/>
    <w:rsid w:val="00BB1270"/>
    <w:rsid w:val="00BB33E7"/>
    <w:rsid w:val="00BB362C"/>
    <w:rsid w:val="00BB5E76"/>
    <w:rsid w:val="00BB6117"/>
    <w:rsid w:val="00BB6F35"/>
    <w:rsid w:val="00BC23CF"/>
    <w:rsid w:val="00BC2534"/>
    <w:rsid w:val="00BC37DE"/>
    <w:rsid w:val="00BC4C22"/>
    <w:rsid w:val="00BC513D"/>
    <w:rsid w:val="00BC5240"/>
    <w:rsid w:val="00BD1DE8"/>
    <w:rsid w:val="00BD5B42"/>
    <w:rsid w:val="00BD630F"/>
    <w:rsid w:val="00BD6D11"/>
    <w:rsid w:val="00BD763A"/>
    <w:rsid w:val="00BE3B4B"/>
    <w:rsid w:val="00BE4699"/>
    <w:rsid w:val="00BE4A99"/>
    <w:rsid w:val="00BF0255"/>
    <w:rsid w:val="00BF0CB5"/>
    <w:rsid w:val="00BF2498"/>
    <w:rsid w:val="00BF3C9A"/>
    <w:rsid w:val="00C01034"/>
    <w:rsid w:val="00C01ED4"/>
    <w:rsid w:val="00C02F8F"/>
    <w:rsid w:val="00C06797"/>
    <w:rsid w:val="00C12D9C"/>
    <w:rsid w:val="00C143E5"/>
    <w:rsid w:val="00C212AE"/>
    <w:rsid w:val="00C221A0"/>
    <w:rsid w:val="00C2456A"/>
    <w:rsid w:val="00C24FC9"/>
    <w:rsid w:val="00C27D54"/>
    <w:rsid w:val="00C30E00"/>
    <w:rsid w:val="00C30EE4"/>
    <w:rsid w:val="00C3120C"/>
    <w:rsid w:val="00C315AC"/>
    <w:rsid w:val="00C364CA"/>
    <w:rsid w:val="00C40C9E"/>
    <w:rsid w:val="00C42D3A"/>
    <w:rsid w:val="00C42F30"/>
    <w:rsid w:val="00C467AF"/>
    <w:rsid w:val="00C50079"/>
    <w:rsid w:val="00C5034E"/>
    <w:rsid w:val="00C52BDA"/>
    <w:rsid w:val="00C53E13"/>
    <w:rsid w:val="00C53EEA"/>
    <w:rsid w:val="00C55961"/>
    <w:rsid w:val="00C60AEC"/>
    <w:rsid w:val="00C61E35"/>
    <w:rsid w:val="00C63F7A"/>
    <w:rsid w:val="00C64B13"/>
    <w:rsid w:val="00C66346"/>
    <w:rsid w:val="00C712DE"/>
    <w:rsid w:val="00C75AF6"/>
    <w:rsid w:val="00C7756D"/>
    <w:rsid w:val="00C814C2"/>
    <w:rsid w:val="00C838B1"/>
    <w:rsid w:val="00C83A7C"/>
    <w:rsid w:val="00C85812"/>
    <w:rsid w:val="00C85C3C"/>
    <w:rsid w:val="00C85D7F"/>
    <w:rsid w:val="00C87172"/>
    <w:rsid w:val="00C911A8"/>
    <w:rsid w:val="00C947D9"/>
    <w:rsid w:val="00CA1C08"/>
    <w:rsid w:val="00CA50B2"/>
    <w:rsid w:val="00CA51D4"/>
    <w:rsid w:val="00CB05A2"/>
    <w:rsid w:val="00CB1863"/>
    <w:rsid w:val="00CB6D6C"/>
    <w:rsid w:val="00CB75A8"/>
    <w:rsid w:val="00CC2865"/>
    <w:rsid w:val="00CC41FF"/>
    <w:rsid w:val="00CD06A7"/>
    <w:rsid w:val="00CD305C"/>
    <w:rsid w:val="00CD39E1"/>
    <w:rsid w:val="00CD3B35"/>
    <w:rsid w:val="00CD44B4"/>
    <w:rsid w:val="00CD7F6B"/>
    <w:rsid w:val="00CE01AC"/>
    <w:rsid w:val="00CE49C4"/>
    <w:rsid w:val="00CE5D68"/>
    <w:rsid w:val="00CE6DF6"/>
    <w:rsid w:val="00CF3717"/>
    <w:rsid w:val="00D00D8E"/>
    <w:rsid w:val="00D04E00"/>
    <w:rsid w:val="00D07603"/>
    <w:rsid w:val="00D07B61"/>
    <w:rsid w:val="00D12D55"/>
    <w:rsid w:val="00D17470"/>
    <w:rsid w:val="00D174F7"/>
    <w:rsid w:val="00D175AD"/>
    <w:rsid w:val="00D24788"/>
    <w:rsid w:val="00D25E6F"/>
    <w:rsid w:val="00D26A08"/>
    <w:rsid w:val="00D316E5"/>
    <w:rsid w:val="00D33D58"/>
    <w:rsid w:val="00D35748"/>
    <w:rsid w:val="00D3692F"/>
    <w:rsid w:val="00D447B7"/>
    <w:rsid w:val="00D45633"/>
    <w:rsid w:val="00D471FF"/>
    <w:rsid w:val="00D5179F"/>
    <w:rsid w:val="00D51C6C"/>
    <w:rsid w:val="00D53856"/>
    <w:rsid w:val="00D64B87"/>
    <w:rsid w:val="00D64D9F"/>
    <w:rsid w:val="00D65864"/>
    <w:rsid w:val="00D74723"/>
    <w:rsid w:val="00D771D0"/>
    <w:rsid w:val="00D838A6"/>
    <w:rsid w:val="00D84698"/>
    <w:rsid w:val="00D87042"/>
    <w:rsid w:val="00D878DF"/>
    <w:rsid w:val="00D878E0"/>
    <w:rsid w:val="00D90C2B"/>
    <w:rsid w:val="00D91463"/>
    <w:rsid w:val="00D93542"/>
    <w:rsid w:val="00D95952"/>
    <w:rsid w:val="00D95ADD"/>
    <w:rsid w:val="00DA05F4"/>
    <w:rsid w:val="00DA0BDA"/>
    <w:rsid w:val="00DA288E"/>
    <w:rsid w:val="00DA2EA0"/>
    <w:rsid w:val="00DB23F3"/>
    <w:rsid w:val="00DB2765"/>
    <w:rsid w:val="00DB2E22"/>
    <w:rsid w:val="00DB32D6"/>
    <w:rsid w:val="00DB4481"/>
    <w:rsid w:val="00DC0305"/>
    <w:rsid w:val="00DC303A"/>
    <w:rsid w:val="00DD0894"/>
    <w:rsid w:val="00DD1316"/>
    <w:rsid w:val="00DD1968"/>
    <w:rsid w:val="00DD5832"/>
    <w:rsid w:val="00DD71FA"/>
    <w:rsid w:val="00DE4464"/>
    <w:rsid w:val="00DE511A"/>
    <w:rsid w:val="00DF09AF"/>
    <w:rsid w:val="00DF0A25"/>
    <w:rsid w:val="00DF204D"/>
    <w:rsid w:val="00E03B56"/>
    <w:rsid w:val="00E15C47"/>
    <w:rsid w:val="00E17CE9"/>
    <w:rsid w:val="00E20B69"/>
    <w:rsid w:val="00E228A7"/>
    <w:rsid w:val="00E22E1F"/>
    <w:rsid w:val="00E24CFC"/>
    <w:rsid w:val="00E260EA"/>
    <w:rsid w:val="00E26415"/>
    <w:rsid w:val="00E345E2"/>
    <w:rsid w:val="00E34868"/>
    <w:rsid w:val="00E3560B"/>
    <w:rsid w:val="00E37567"/>
    <w:rsid w:val="00E4243F"/>
    <w:rsid w:val="00E47289"/>
    <w:rsid w:val="00E51969"/>
    <w:rsid w:val="00E52232"/>
    <w:rsid w:val="00E52AB2"/>
    <w:rsid w:val="00E52B94"/>
    <w:rsid w:val="00E55D10"/>
    <w:rsid w:val="00E564EA"/>
    <w:rsid w:val="00E60E1E"/>
    <w:rsid w:val="00E63F58"/>
    <w:rsid w:val="00E646AC"/>
    <w:rsid w:val="00E64AEC"/>
    <w:rsid w:val="00E67C1B"/>
    <w:rsid w:val="00E67D23"/>
    <w:rsid w:val="00E7119E"/>
    <w:rsid w:val="00E74CE1"/>
    <w:rsid w:val="00E80705"/>
    <w:rsid w:val="00E827D3"/>
    <w:rsid w:val="00E83018"/>
    <w:rsid w:val="00E85490"/>
    <w:rsid w:val="00E92AAD"/>
    <w:rsid w:val="00E94613"/>
    <w:rsid w:val="00E9597C"/>
    <w:rsid w:val="00EA0A4E"/>
    <w:rsid w:val="00EA3D29"/>
    <w:rsid w:val="00EB15A2"/>
    <w:rsid w:val="00EB1664"/>
    <w:rsid w:val="00EB254D"/>
    <w:rsid w:val="00EB2D66"/>
    <w:rsid w:val="00EB6DD0"/>
    <w:rsid w:val="00EC2566"/>
    <w:rsid w:val="00EC2FB5"/>
    <w:rsid w:val="00ED07F4"/>
    <w:rsid w:val="00ED504C"/>
    <w:rsid w:val="00ED5647"/>
    <w:rsid w:val="00EE2FBB"/>
    <w:rsid w:val="00EE5AAF"/>
    <w:rsid w:val="00EE75C4"/>
    <w:rsid w:val="00EF54BD"/>
    <w:rsid w:val="00F00068"/>
    <w:rsid w:val="00F1012D"/>
    <w:rsid w:val="00F16E95"/>
    <w:rsid w:val="00F26785"/>
    <w:rsid w:val="00F27D34"/>
    <w:rsid w:val="00F31635"/>
    <w:rsid w:val="00F346EA"/>
    <w:rsid w:val="00F35E9A"/>
    <w:rsid w:val="00F378AF"/>
    <w:rsid w:val="00F41A41"/>
    <w:rsid w:val="00F423F3"/>
    <w:rsid w:val="00F432C2"/>
    <w:rsid w:val="00F50E78"/>
    <w:rsid w:val="00F60BD7"/>
    <w:rsid w:val="00F66A5D"/>
    <w:rsid w:val="00F66CEC"/>
    <w:rsid w:val="00F70058"/>
    <w:rsid w:val="00F70B90"/>
    <w:rsid w:val="00F72654"/>
    <w:rsid w:val="00F75BC6"/>
    <w:rsid w:val="00F76CB9"/>
    <w:rsid w:val="00F7780C"/>
    <w:rsid w:val="00F839DA"/>
    <w:rsid w:val="00F849DC"/>
    <w:rsid w:val="00F86067"/>
    <w:rsid w:val="00F877C4"/>
    <w:rsid w:val="00FA104E"/>
    <w:rsid w:val="00FA4328"/>
    <w:rsid w:val="00FA6190"/>
    <w:rsid w:val="00FA6A3C"/>
    <w:rsid w:val="00FA7E5E"/>
    <w:rsid w:val="00FB4019"/>
    <w:rsid w:val="00FB79BC"/>
    <w:rsid w:val="00FC145A"/>
    <w:rsid w:val="00FC1B57"/>
    <w:rsid w:val="00FC6B40"/>
    <w:rsid w:val="00FC6F65"/>
    <w:rsid w:val="00FC7A00"/>
    <w:rsid w:val="00FD18F1"/>
    <w:rsid w:val="00FD651B"/>
    <w:rsid w:val="00FE0834"/>
    <w:rsid w:val="00FE0F8E"/>
    <w:rsid w:val="00FE1852"/>
    <w:rsid w:val="00FE5140"/>
    <w:rsid w:val="00FF086B"/>
    <w:rsid w:val="00FF20BE"/>
    <w:rsid w:val="00FF25E1"/>
    <w:rsid w:val="00FF2F32"/>
    <w:rsid w:val="00FF4F7A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9555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table" w:customStyle="1" w:styleId="Tablaconcuadrcula4-nfasis11">
    <w:name w:val="Tabla con cuadrícula 4 - Énfasis 11"/>
    <w:basedOn w:val="Tablanormal"/>
    <w:uiPriority w:val="49"/>
    <w:rsid w:val="006C0C9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6D7D2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customStyle="1" w:styleId="Tabladecuadrcula4-nfasis11">
    <w:name w:val="Tabla de cuadrícula 4 - Énfasis 11"/>
    <w:basedOn w:val="Tablanormal"/>
    <w:uiPriority w:val="49"/>
    <w:rsid w:val="009225EF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0E78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0E78"/>
    <w:rPr>
      <w:rFonts w:ascii="Times New Roman" w:eastAsia="Times New Roman" w:hAnsi="Times New Roman"/>
      <w:b/>
      <w:bCs/>
      <w:lang w:val="es-ES_tradnl" w:eastAsia="en-US"/>
    </w:rPr>
  </w:style>
  <w:style w:type="paragraph" w:styleId="Revisin">
    <w:name w:val="Revision"/>
    <w:hidden/>
    <w:uiPriority w:val="71"/>
    <w:rsid w:val="00F50E78"/>
    <w:rPr>
      <w:sz w:val="22"/>
      <w:szCs w:val="22"/>
      <w:lang w:eastAsia="en-US"/>
    </w:rPr>
  </w:style>
  <w:style w:type="table" w:customStyle="1" w:styleId="Tablaconcuadrcula4-nfasis11">
    <w:name w:val="Tabla con cuadrícula 4 - Énfasis 11"/>
    <w:basedOn w:val="Tablanormal"/>
    <w:uiPriority w:val="49"/>
    <w:rsid w:val="006C0C9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1">
    <w:name w:val="Grid Table 4 Accent 1"/>
    <w:basedOn w:val="Tablanormal"/>
    <w:uiPriority w:val="49"/>
    <w:rsid w:val="006D7D2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agosto%202018%20gesti&#243;n%204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agosto%202018%20gesti&#243;n%2046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agosto%202018%20gesti&#243;n%2046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agosto%202018%20gesti&#243;n%2046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agosto%202018%20gesti&#243;n%2046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cnarvaez\Desktop\CVP%20agosto%202018%20gesti&#243;n%204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agosto 2018 gestión 46.xlsx]MES!Tabla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PQRSD Agosto 2018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3.3333333333333333E-2"/>
              <c:y val="4.629629629629629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3.3333333333333333E-2"/>
              <c:y val="4.629629629629629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3.3333333333333333E-2"/>
              <c:y val="4.629629629629629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MES!$B$4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3333333333333333E-2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EFD-4161-AA35-1FA6EFF1E7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MES!$A$5:$A$6</c:f>
              <c:strCache>
                <c:ptCount val="1"/>
                <c:pt idx="0">
                  <c:v>SDQS</c:v>
                </c:pt>
              </c:strCache>
            </c:strRef>
          </c:cat>
          <c:val>
            <c:numRef>
              <c:f>MES!$B$5:$B$6</c:f>
              <c:numCache>
                <c:formatCode>General</c:formatCode>
                <c:ptCount val="1"/>
                <c:pt idx="0">
                  <c:v>283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EFD-4161-AA35-1FA6EFF1E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23264256"/>
        <c:axId val="223369408"/>
        <c:axId val="0"/>
      </c:bar3DChart>
      <c:catAx>
        <c:axId val="223264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223369408"/>
        <c:crosses val="autoZero"/>
        <c:auto val="1"/>
        <c:lblAlgn val="ctr"/>
        <c:lblOffset val="100"/>
        <c:noMultiLvlLbl val="0"/>
      </c:catAx>
      <c:valAx>
        <c:axId val="2233694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326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agosto 2018 gestión 46.xlsx]canal!Tabla dinámica1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n-US"/>
              <a:t>Canales de Interacción</a:t>
            </a:r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canal!$A$5:$A$9</c:f>
              <c:strCache>
                <c:ptCount val="4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WEB</c:v>
                </c:pt>
              </c:strCache>
            </c:strRef>
          </c:cat>
          <c:val>
            <c:numRef>
              <c:f>canal!$B$5:$B$9</c:f>
              <c:numCache>
                <c:formatCode>General</c:formatCode>
                <c:ptCount val="4"/>
                <c:pt idx="0">
                  <c:v>13</c:v>
                </c:pt>
                <c:pt idx="1">
                  <c:v>243</c:v>
                </c:pt>
                <c:pt idx="2">
                  <c:v>4</c:v>
                </c:pt>
                <c:pt idx="3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9D1-4CA6-9A41-EB7623B074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8710016"/>
        <c:axId val="140025856"/>
        <c:axId val="0"/>
      </c:bar3DChart>
      <c:catAx>
        <c:axId val="218710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0025856"/>
        <c:crosses val="autoZero"/>
        <c:auto val="1"/>
        <c:lblAlgn val="ctr"/>
        <c:lblOffset val="100"/>
        <c:noMultiLvlLbl val="0"/>
      </c:catAx>
      <c:valAx>
        <c:axId val="1400258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187100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agosto 2018 gestión 46.xlsx]Tipologías!Tabla dinámica2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Tipologías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Tipologías!$B$4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Tipologías!$A$5:$A$11</c:f>
              <c:strCache>
                <c:ptCount val="6"/>
                <c:pt idx="0">
                  <c:v>CONSULTA</c:v>
                </c:pt>
                <c:pt idx="1">
                  <c:v>DERECHO DE PETICIÓN DE INTERÉS GENERAL</c:v>
                </c:pt>
                <c:pt idx="2">
                  <c:v>DERECHO DE PETICIÓN DE INTERÉS PARTICULAR</c:v>
                </c:pt>
                <c:pt idx="3">
                  <c:v>QUEJA</c:v>
                </c:pt>
                <c:pt idx="4">
                  <c:v>SOLICITUD DE ACCESO A LA INFORMACIÓN</c:v>
                </c:pt>
                <c:pt idx="5">
                  <c:v>SOLICITUD DE COPIA</c:v>
                </c:pt>
              </c:strCache>
            </c:strRef>
          </c:cat>
          <c:val>
            <c:numRef>
              <c:f>Tipologías!$B$5:$B$11</c:f>
              <c:numCache>
                <c:formatCode>General</c:formatCode>
                <c:ptCount val="6"/>
                <c:pt idx="0">
                  <c:v>5</c:v>
                </c:pt>
                <c:pt idx="1">
                  <c:v>5</c:v>
                </c:pt>
                <c:pt idx="2">
                  <c:v>256</c:v>
                </c:pt>
                <c:pt idx="3">
                  <c:v>1</c:v>
                </c:pt>
                <c:pt idx="4">
                  <c:v>3</c:v>
                </c:pt>
                <c:pt idx="5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B9-4594-A2A9-F76957699F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6370944"/>
        <c:axId val="140027584"/>
        <c:axId val="0"/>
      </c:bar3DChart>
      <c:catAx>
        <c:axId val="363709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40027584"/>
        <c:crosses val="autoZero"/>
        <c:auto val="1"/>
        <c:lblAlgn val="ctr"/>
        <c:lblOffset val="100"/>
        <c:noMultiLvlLbl val="0"/>
      </c:catAx>
      <c:valAx>
        <c:axId val="1400275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6370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agosto 2018 gestión 46.xlsx]Participación por localidad!Tabla dinámica10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por localidad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'Participación por localidad'!$B$4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'Participación por localidad'!$A$5:$A$17</c:f>
              <c:strCache>
                <c:ptCount val="12"/>
                <c:pt idx="0">
                  <c:v>03 - SANTA FE</c:v>
                </c:pt>
                <c:pt idx="1">
                  <c:v>04 - SAN CRISTOBAL</c:v>
                </c:pt>
                <c:pt idx="2">
                  <c:v>05 - USME</c:v>
                </c:pt>
                <c:pt idx="3">
                  <c:v>06 - TUNJUELITO</c:v>
                </c:pt>
                <c:pt idx="4">
                  <c:v>07 - BOSA</c:v>
                </c:pt>
                <c:pt idx="5">
                  <c:v>08 - KENNEDY</c:v>
                </c:pt>
                <c:pt idx="6">
                  <c:v>10 - ENGATIVA</c:v>
                </c:pt>
                <c:pt idx="7">
                  <c:v>11 - SUBA</c:v>
                </c:pt>
                <c:pt idx="8">
                  <c:v>14 - LOS MARTIRES</c:v>
                </c:pt>
                <c:pt idx="9">
                  <c:v>18 - RAFAEL URIBE URIBE</c:v>
                </c:pt>
                <c:pt idx="10">
                  <c:v>19 - CIUDAD BOLIVAR</c:v>
                </c:pt>
                <c:pt idx="11">
                  <c:v>(en blanco)</c:v>
                </c:pt>
              </c:strCache>
            </c:strRef>
          </c:cat>
          <c:val>
            <c:numRef>
              <c:f>'Participación por localidad'!$B$5:$B$17</c:f>
              <c:numCache>
                <c:formatCode>General</c:formatCode>
                <c:ptCount val="12"/>
                <c:pt idx="0">
                  <c:v>3</c:v>
                </c:pt>
                <c:pt idx="1">
                  <c:v>10</c:v>
                </c:pt>
                <c:pt idx="2">
                  <c:v>11</c:v>
                </c:pt>
                <c:pt idx="3">
                  <c:v>3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3</c:v>
                </c:pt>
                <c:pt idx="8">
                  <c:v>1</c:v>
                </c:pt>
                <c:pt idx="9">
                  <c:v>13</c:v>
                </c:pt>
                <c:pt idx="10">
                  <c:v>59</c:v>
                </c:pt>
                <c:pt idx="11">
                  <c:v>173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C59-434B-902E-5CBC428FDC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18712576"/>
        <c:axId val="140029312"/>
        <c:axId val="0"/>
      </c:bar3DChart>
      <c:catAx>
        <c:axId val="21871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0029312"/>
        <c:crosses val="autoZero"/>
        <c:auto val="1"/>
        <c:lblAlgn val="ctr"/>
        <c:lblOffset val="100"/>
        <c:noMultiLvlLbl val="0"/>
      </c:catAx>
      <c:valAx>
        <c:axId val="140029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712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agosto 2018 gestión 46.xlsx]Participación por estrato!Tabla dinámica11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por estrato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'Participación por estrato'!$B$4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'Participación por estrato'!$A$5:$A$10</c:f>
              <c:strCach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  <c:pt idx="4">
                  <c:v>(en blanco)</c:v>
                </c:pt>
              </c:strCache>
            </c:strRef>
          </c:cat>
          <c:val>
            <c:numRef>
              <c:f>'Participación por estrato'!$B$5:$B$10</c:f>
              <c:numCache>
                <c:formatCode>General</c:formatCode>
                <c:ptCount val="5"/>
                <c:pt idx="0">
                  <c:v>68</c:v>
                </c:pt>
                <c:pt idx="1">
                  <c:v>102</c:v>
                </c:pt>
                <c:pt idx="2">
                  <c:v>7</c:v>
                </c:pt>
                <c:pt idx="3">
                  <c:v>1</c:v>
                </c:pt>
                <c:pt idx="4">
                  <c:v>105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80-4045-A0A7-B79AE81D06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8713088"/>
        <c:axId val="140031040"/>
      </c:barChart>
      <c:catAx>
        <c:axId val="2187130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0031040"/>
        <c:crosses val="autoZero"/>
        <c:auto val="1"/>
        <c:lblAlgn val="ctr"/>
        <c:lblOffset val="100"/>
        <c:noMultiLvlLbl val="0"/>
      </c:catAx>
      <c:valAx>
        <c:axId val="1400310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8713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[CVP agosto 2018 gestión 46.xlsx]Participación tipo requiriente!Tabla dinámica12</c:name>
    <c:fmtId val="-1"/>
  </c:pivotSource>
  <c:chart>
    <c:title>
      <c:tx>
        <c:rich>
          <a:bodyPr/>
          <a:lstStyle/>
          <a:p>
            <a:pPr>
              <a:defRPr/>
            </a:pPr>
            <a:r>
              <a:rPr lang="es-CO" sz="1800" b="1" i="0" u="none" strike="noStrike" baseline="0">
                <a:effectLst/>
              </a:rPr>
              <a:t>Participación tipo requiriente</a:t>
            </a:r>
            <a:endParaRPr lang="en-US"/>
          </a:p>
        </c:rich>
      </c:tx>
      <c:overlay val="0"/>
    </c:title>
    <c:autoTitleDeleted val="0"/>
    <c:pivotFmts>
      <c:pivotFmt>
        <c:idx val="0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"/>
        <c:dLbl>
          <c:idx val="0"/>
          <c:layout>
            <c:manualLayout>
              <c:x val="1.2701662292213473E-2"/>
              <c:y val="-2.462197433654126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2"/>
        <c:dLbl>
          <c:idx val="0"/>
          <c:layout>
            <c:manualLayout>
              <c:x val="4.8643919510061293E-2"/>
              <c:y val="2.4066783318751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3"/>
        <c:dLbl>
          <c:idx val="0"/>
          <c:layout>
            <c:manualLayout>
              <c:x val="-3.4349081364829344E-2"/>
              <c:y val="-2.499671916010498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4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5"/>
        <c:dLbl>
          <c:idx val="0"/>
          <c:layout>
            <c:manualLayout>
              <c:x val="1.2701662292213473E-2"/>
              <c:y val="-2.462197433654126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6"/>
        <c:dLbl>
          <c:idx val="0"/>
          <c:layout>
            <c:manualLayout>
              <c:x val="4.8643919510061293E-2"/>
              <c:y val="2.4066783318751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7"/>
        <c:dLbl>
          <c:idx val="0"/>
          <c:layout>
            <c:manualLayout>
              <c:x val="-3.4349081364829344E-2"/>
              <c:y val="-2.499671916010498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8"/>
        <c:marker>
          <c:symbol val="none"/>
        </c:marker>
        <c:dLbl>
          <c:idx val="0"/>
          <c:spPr/>
          <c:txPr>
            <a:bodyPr/>
            <a:lstStyle/>
            <a:p>
              <a:pPr>
                <a:defRPr/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9"/>
        <c:dLbl>
          <c:idx val="0"/>
          <c:layout>
            <c:manualLayout>
              <c:x val="1.2701662292213473E-2"/>
              <c:y val="-2.462197433654126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0"/>
        <c:dLbl>
          <c:idx val="0"/>
          <c:layout>
            <c:manualLayout>
              <c:x val="4.8643919510061293E-2"/>
              <c:y val="2.40667833187514E-3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  <c:pivotFmt>
        <c:idx val="11"/>
        <c:dLbl>
          <c:idx val="0"/>
          <c:layout>
            <c:manualLayout>
              <c:x val="-3.4349081364829344E-2"/>
              <c:y val="-2.4996719160104985E-2"/>
            </c:manualLayout>
          </c:layout>
          <c:showLegendKey val="0"/>
          <c:showVal val="1"/>
          <c:showCatName val="0"/>
          <c:showSerName val="0"/>
          <c:showPercent val="0"/>
          <c:showBubbleSize val="0"/>
          <c:extLst xmlns:c16r2="http://schemas.microsoft.com/office/drawing/2015/06/chart"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'Participación tipo requiriente'!$B$4</c:f>
              <c:strCache>
                <c:ptCount val="1"/>
                <c:pt idx="0">
                  <c:v>Total</c:v>
                </c:pt>
              </c:strCache>
            </c:strRef>
          </c:tx>
          <c:dLbls>
            <c:dLbl>
              <c:idx val="0"/>
              <c:layout>
                <c:manualLayout>
                  <c:x val="1.2701662292213473E-2"/>
                  <c:y val="-2.4621974336541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AAF-4ED8-B4ED-658CDADFE5A3}"/>
                </c:ext>
              </c:extLst>
            </c:dLbl>
            <c:dLbl>
              <c:idx val="1"/>
              <c:layout>
                <c:manualLayout>
                  <c:x val="4.8643919510061293E-2"/>
                  <c:y val="2.406678331875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AAF-4ED8-B4ED-658CDADFE5A3}"/>
                </c:ext>
              </c:extLst>
            </c:dLbl>
            <c:dLbl>
              <c:idx val="3"/>
              <c:layout>
                <c:manualLayout>
                  <c:x val="-3.4349081364829344E-2"/>
                  <c:y val="-2.4996719160104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AAF-4ED8-B4ED-658CDADFE5A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'Participación tipo requiriente'!$A$5:$A$9</c:f>
              <c:strCache>
                <c:ptCount val="4"/>
                <c:pt idx="0">
                  <c:v>Establecimiento comercial</c:v>
                </c:pt>
                <c:pt idx="1">
                  <c:v>Juridica</c:v>
                </c:pt>
                <c:pt idx="2">
                  <c:v>Natural</c:v>
                </c:pt>
                <c:pt idx="3">
                  <c:v>(en blanco)</c:v>
                </c:pt>
              </c:strCache>
            </c:strRef>
          </c:cat>
          <c:val>
            <c:numRef>
              <c:f>'Participación tipo requiriente'!$B$5:$B$9</c:f>
              <c:numCache>
                <c:formatCode>General</c:formatCode>
                <c:ptCount val="4"/>
                <c:pt idx="0">
                  <c:v>1</c:v>
                </c:pt>
                <c:pt idx="1">
                  <c:v>5</c:v>
                </c:pt>
                <c:pt idx="2">
                  <c:v>272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AAF-4ED8-B4ED-658CDADFE5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extLst xmlns:c16r2="http://schemas.microsoft.com/office/drawing/2015/06/chart"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9A49AE-F1D7-4284-B7A9-222F14BB9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1745</Words>
  <Characters>9600</Characters>
  <Application>Microsoft Office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11323</CharactersWithSpaces>
  <SharedDoc>false</SharedDoc>
  <HLinks>
    <vt:vector size="12" baseType="variant">
      <vt:variant>
        <vt:i4>7274500</vt:i4>
      </vt:variant>
      <vt:variant>
        <vt:i4>2126</vt:i4>
      </vt:variant>
      <vt:variant>
        <vt:i4>1026</vt:i4>
      </vt:variant>
      <vt:variant>
        <vt:i4>1</vt:i4>
      </vt:variant>
      <vt:variant>
        <vt:lpwstr>top</vt:lpwstr>
      </vt:variant>
      <vt:variant>
        <vt:lpwstr/>
      </vt:variant>
      <vt:variant>
        <vt:i4>3866736</vt:i4>
      </vt:variant>
      <vt:variant>
        <vt:i4>2420</vt:i4>
      </vt:variant>
      <vt:variant>
        <vt:i4>1025</vt:i4>
      </vt:variant>
      <vt:variant>
        <vt:i4>1</vt:i4>
      </vt:variant>
      <vt:variant>
        <vt:lpwstr>NewFooter2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2018-07-25T12:59:00Z</cp:lastPrinted>
  <dcterms:created xsi:type="dcterms:W3CDTF">2018-09-26T15:34:00Z</dcterms:created>
  <dcterms:modified xsi:type="dcterms:W3CDTF">2018-09-26T15:34:00Z</dcterms:modified>
</cp:coreProperties>
</file>