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00172" w14:textId="427FCA4A" w:rsidR="008C0119" w:rsidRPr="00E23DF2" w:rsidRDefault="003B0CDF" w:rsidP="009E4898">
      <w:pPr>
        <w:jc w:val="center"/>
        <w:rPr>
          <w:rFonts w:cs="Arial"/>
          <w:sz w:val="22"/>
          <w:szCs w:val="22"/>
          <w:lang w:eastAsia="es-CO"/>
        </w:rPr>
      </w:pPr>
      <w:bookmarkStart w:id="0" w:name="_GoBack"/>
      <w:bookmarkEnd w:id="0"/>
      <w:r w:rsidRPr="00E23DF2">
        <w:rPr>
          <w:rFonts w:cs="Arial"/>
          <w:b/>
          <w:bCs/>
          <w:sz w:val="22"/>
          <w:szCs w:val="22"/>
          <w:lang w:eastAsia="es-CO"/>
        </w:rPr>
        <w:t>EL DIRECTOR GENERAL DE LA CAJA DE LA VIVIENDA POPULAR</w:t>
      </w:r>
    </w:p>
    <w:p w14:paraId="6EFE707A" w14:textId="77777777" w:rsidR="000C449C" w:rsidRDefault="000C449C" w:rsidP="009E4898">
      <w:pPr>
        <w:jc w:val="center"/>
        <w:rPr>
          <w:rFonts w:cs="Arial"/>
          <w:b/>
          <w:bCs/>
          <w:sz w:val="22"/>
          <w:szCs w:val="22"/>
          <w:lang w:eastAsia="es-CO"/>
        </w:rPr>
      </w:pPr>
    </w:p>
    <w:p w14:paraId="01013085" w14:textId="77777777" w:rsidR="008C0119" w:rsidRPr="00E23DF2" w:rsidRDefault="003B0CDF" w:rsidP="00E23DF2">
      <w:pPr>
        <w:pStyle w:val="Prrafodelista"/>
        <w:ind w:left="0"/>
        <w:jc w:val="center"/>
        <w:rPr>
          <w:rFonts w:cs="Arial"/>
          <w:color w:val="000000"/>
          <w:sz w:val="22"/>
          <w:szCs w:val="22"/>
        </w:rPr>
      </w:pPr>
      <w:r w:rsidRPr="00E23DF2">
        <w:rPr>
          <w:rFonts w:cs="Arial"/>
          <w:b/>
          <w:bCs/>
          <w:sz w:val="22"/>
          <w:szCs w:val="22"/>
          <w:lang w:eastAsia="es-CO"/>
        </w:rPr>
        <w:t>En uso de las facultades conferidas por los Acuerdos 003 y 004 de 2008 emanados del Consejo Directivo,</w:t>
      </w:r>
    </w:p>
    <w:p w14:paraId="25AF0847" w14:textId="77777777" w:rsidR="008C0119" w:rsidRPr="00E23DF2" w:rsidRDefault="008C0119" w:rsidP="009E4898">
      <w:pPr>
        <w:pStyle w:val="Prrafodelista"/>
        <w:jc w:val="center"/>
        <w:rPr>
          <w:rFonts w:cs="Arial"/>
          <w:b/>
          <w:color w:val="000000"/>
          <w:sz w:val="22"/>
          <w:szCs w:val="22"/>
        </w:rPr>
      </w:pPr>
    </w:p>
    <w:p w14:paraId="34F2E7A6" w14:textId="77777777" w:rsidR="008C0119" w:rsidRPr="00E23DF2" w:rsidRDefault="003B0CDF" w:rsidP="00E23DF2">
      <w:pPr>
        <w:pStyle w:val="Prrafodelista"/>
        <w:ind w:left="0"/>
        <w:jc w:val="center"/>
        <w:rPr>
          <w:rFonts w:cs="Arial"/>
          <w:b/>
          <w:color w:val="000000"/>
          <w:sz w:val="22"/>
          <w:szCs w:val="22"/>
        </w:rPr>
      </w:pPr>
      <w:r w:rsidRPr="00E23DF2">
        <w:rPr>
          <w:rFonts w:cs="Arial"/>
          <w:b/>
          <w:color w:val="000000"/>
          <w:sz w:val="22"/>
          <w:szCs w:val="22"/>
        </w:rPr>
        <w:t>CONSIDERANDO:</w:t>
      </w:r>
    </w:p>
    <w:p w14:paraId="03F348EC" w14:textId="77777777" w:rsidR="000C449C" w:rsidRPr="00E23DF2" w:rsidRDefault="000C449C" w:rsidP="009E4898">
      <w:pPr>
        <w:rPr>
          <w:rFonts w:cs="Arial"/>
          <w:sz w:val="22"/>
          <w:szCs w:val="22"/>
          <w:lang w:eastAsia="es-CO"/>
        </w:rPr>
      </w:pPr>
    </w:p>
    <w:p w14:paraId="71ED03ED" w14:textId="77777777" w:rsidR="00B638E2" w:rsidRPr="00E23DF2" w:rsidRDefault="00B638E2" w:rsidP="009E4898">
      <w:pPr>
        <w:rPr>
          <w:rFonts w:cs="Arial"/>
          <w:sz w:val="22"/>
          <w:szCs w:val="22"/>
          <w:lang w:eastAsia="es-CO"/>
        </w:rPr>
      </w:pPr>
    </w:p>
    <w:p w14:paraId="562F59BD" w14:textId="77777777" w:rsidR="00DD0953" w:rsidRDefault="003B0CDF" w:rsidP="009E4898">
      <w:pPr>
        <w:rPr>
          <w:rFonts w:cs="Arial"/>
          <w:sz w:val="22"/>
          <w:szCs w:val="22"/>
          <w:lang w:eastAsia="es-CO"/>
        </w:rPr>
      </w:pPr>
      <w:r w:rsidRPr="00E23DF2">
        <w:rPr>
          <w:rFonts w:cs="Arial"/>
          <w:sz w:val="22"/>
          <w:szCs w:val="22"/>
          <w:lang w:eastAsia="es-CO"/>
        </w:rPr>
        <w:t>Que</w:t>
      </w:r>
      <w:r w:rsidR="00694047">
        <w:rPr>
          <w:rFonts w:cs="Arial"/>
          <w:sz w:val="22"/>
          <w:szCs w:val="22"/>
          <w:lang w:eastAsia="es-CO"/>
        </w:rPr>
        <w:t>,</w:t>
      </w:r>
      <w:r w:rsidR="009F210A">
        <w:rPr>
          <w:rFonts w:cs="Arial"/>
          <w:sz w:val="22"/>
          <w:szCs w:val="22"/>
          <w:lang w:eastAsia="es-CO"/>
        </w:rPr>
        <w:t xml:space="preserve"> conforme lo señala el </w:t>
      </w:r>
      <w:r w:rsidRPr="00E23DF2">
        <w:rPr>
          <w:rFonts w:cs="Arial"/>
          <w:sz w:val="22"/>
          <w:szCs w:val="22"/>
          <w:lang w:eastAsia="es-CO"/>
        </w:rPr>
        <w:t>Decreto Distrital 330 de 202</w:t>
      </w:r>
      <w:r w:rsidR="00914C02" w:rsidRPr="00E23DF2">
        <w:rPr>
          <w:rFonts w:cs="Arial"/>
          <w:sz w:val="22"/>
          <w:szCs w:val="22"/>
          <w:lang w:eastAsia="es-CO"/>
        </w:rPr>
        <w:t>0</w:t>
      </w:r>
      <w:r w:rsidRPr="00E23DF2">
        <w:rPr>
          <w:rFonts w:cs="Arial"/>
          <w:sz w:val="22"/>
          <w:szCs w:val="22"/>
          <w:lang w:eastAsia="es-CO"/>
        </w:rPr>
        <w:t xml:space="preserve"> </w:t>
      </w:r>
      <w:r w:rsidRPr="00E23DF2">
        <w:rPr>
          <w:rFonts w:cs="Arial"/>
          <w:i/>
          <w:sz w:val="22"/>
          <w:szCs w:val="22"/>
          <w:lang w:eastAsia="es-CO"/>
        </w:rPr>
        <w:t xml:space="preserve">"por el cual se regula el programa de reasentamiento de familias por encontrarse en condiciones de alto riesgo no mitigable en el Distrito Capital y se dictan otras disposiciones", </w:t>
      </w:r>
      <w:r w:rsidRPr="00E23DF2">
        <w:rPr>
          <w:rFonts w:cs="Arial"/>
          <w:sz w:val="22"/>
          <w:szCs w:val="22"/>
          <w:lang w:eastAsia="es-CO"/>
        </w:rPr>
        <w:t>le otorgó a la Caja de la Vivienda Popular la competencia para reglamentar varios aspectos del proceso de reasentamientos</w:t>
      </w:r>
    </w:p>
    <w:p w14:paraId="2025EE34" w14:textId="5EAD756F" w:rsidR="00F34AF0" w:rsidRPr="00E23DF2" w:rsidRDefault="00F34AF0" w:rsidP="009E4898">
      <w:pPr>
        <w:rPr>
          <w:rFonts w:cs="Arial"/>
          <w:sz w:val="22"/>
          <w:szCs w:val="22"/>
          <w:lang w:eastAsia="es-CO"/>
        </w:rPr>
      </w:pPr>
    </w:p>
    <w:p w14:paraId="3C0DDA7C" w14:textId="7392D99D" w:rsidR="00F34AF0" w:rsidRDefault="00F34AF0" w:rsidP="009E4898">
      <w:pPr>
        <w:rPr>
          <w:rFonts w:cs="Arial"/>
          <w:sz w:val="22"/>
          <w:szCs w:val="22"/>
          <w:lang w:eastAsia="es-CO"/>
        </w:rPr>
      </w:pPr>
      <w:r w:rsidRPr="00E23DF2">
        <w:rPr>
          <w:rFonts w:cs="Arial"/>
          <w:sz w:val="22"/>
          <w:szCs w:val="22"/>
          <w:lang w:eastAsia="es-CO"/>
        </w:rPr>
        <w:t xml:space="preserve">Que el artículo 12 del citado Decreto Distrital establece: </w:t>
      </w:r>
    </w:p>
    <w:p w14:paraId="4B86B08A" w14:textId="77777777" w:rsidR="00DD0953" w:rsidRPr="00E23DF2" w:rsidRDefault="00DD0953" w:rsidP="009E4898">
      <w:pPr>
        <w:rPr>
          <w:rFonts w:cs="Arial"/>
          <w:sz w:val="22"/>
          <w:szCs w:val="22"/>
          <w:lang w:eastAsia="es-CO"/>
        </w:rPr>
      </w:pPr>
    </w:p>
    <w:p w14:paraId="6F563205" w14:textId="04D49707" w:rsidR="00F34AF0" w:rsidRPr="00343632" w:rsidRDefault="00F34AF0" w:rsidP="00343632">
      <w:pPr>
        <w:ind w:left="284" w:right="282"/>
        <w:rPr>
          <w:i/>
          <w:iCs/>
          <w:sz w:val="20"/>
          <w:szCs w:val="20"/>
        </w:rPr>
      </w:pPr>
      <w:r w:rsidRPr="00343632">
        <w:rPr>
          <w:b/>
          <w:bCs/>
          <w:i/>
          <w:iCs/>
          <w:sz w:val="20"/>
          <w:szCs w:val="20"/>
        </w:rPr>
        <w:t>“Artículo 12</w:t>
      </w:r>
      <w:r w:rsidR="00EB7801" w:rsidRPr="00343632">
        <w:rPr>
          <w:b/>
          <w:bCs/>
          <w:i/>
          <w:iCs/>
          <w:sz w:val="20"/>
          <w:szCs w:val="20"/>
        </w:rPr>
        <w:t>°. -</w:t>
      </w:r>
      <w:r w:rsidRPr="00343632">
        <w:rPr>
          <w:b/>
          <w:bCs/>
          <w:i/>
          <w:iCs/>
          <w:sz w:val="20"/>
          <w:szCs w:val="20"/>
        </w:rPr>
        <w:t xml:space="preserve"> Temporalidad de la ayuda de relocalización transitoria.</w:t>
      </w:r>
      <w:r w:rsidRPr="00343632">
        <w:rPr>
          <w:i/>
          <w:iCs/>
          <w:sz w:val="20"/>
          <w:szCs w:val="20"/>
        </w:rPr>
        <w:t xml:space="preserve"> La ayuda de relocalización transitoria se otorgará a las familias a partir de la certificación por parte de la Caja de la Vivienda Popular del cumplimiento de los requisitos para el ingreso al programa de reasentamiento hasta que se cumplan, según corresponda, alguna de las siguientes condiciones: </w:t>
      </w:r>
    </w:p>
    <w:p w14:paraId="5A195AFA" w14:textId="77777777" w:rsidR="0012294E" w:rsidRPr="00343632" w:rsidRDefault="0012294E" w:rsidP="00343632">
      <w:pPr>
        <w:ind w:left="284" w:right="282"/>
        <w:rPr>
          <w:i/>
          <w:iCs/>
          <w:sz w:val="20"/>
          <w:szCs w:val="20"/>
        </w:rPr>
      </w:pPr>
    </w:p>
    <w:p w14:paraId="7DDA3AD4" w14:textId="77777777" w:rsidR="00F34AF0" w:rsidRPr="00343632" w:rsidRDefault="00F34AF0" w:rsidP="00343632">
      <w:pPr>
        <w:ind w:left="284" w:right="282"/>
        <w:rPr>
          <w:i/>
          <w:iCs/>
          <w:sz w:val="20"/>
          <w:szCs w:val="20"/>
        </w:rPr>
      </w:pPr>
      <w:r w:rsidRPr="00343632">
        <w:rPr>
          <w:b/>
          <w:bCs/>
          <w:i/>
          <w:iCs/>
          <w:sz w:val="20"/>
          <w:szCs w:val="20"/>
        </w:rPr>
        <w:t>1.</w:t>
      </w:r>
      <w:r w:rsidRPr="00343632">
        <w:rPr>
          <w:i/>
          <w:iCs/>
          <w:sz w:val="20"/>
          <w:szCs w:val="20"/>
        </w:rPr>
        <w:t xml:space="preserve"> Cuando se opte por la adquisición de la vivienda de reposición a través de una operación de leasing habitacional o un contrato de arrendamiento con opción de compra y se destine para el pago total o parcial de cánones mensuales, esta ayuda finalizará al vencimiento del plazo convenido en dichos contratos, el cual no podrá exceder en todo caso el término de tres (3) años. </w:t>
      </w:r>
    </w:p>
    <w:p w14:paraId="64F30553" w14:textId="77777777" w:rsidR="006F447B" w:rsidRPr="00343632" w:rsidRDefault="006F447B" w:rsidP="00343632">
      <w:pPr>
        <w:ind w:left="284" w:right="282"/>
        <w:rPr>
          <w:i/>
          <w:iCs/>
          <w:sz w:val="20"/>
          <w:szCs w:val="20"/>
        </w:rPr>
      </w:pPr>
    </w:p>
    <w:p w14:paraId="626B26F3" w14:textId="747CA176" w:rsidR="00F34AF0" w:rsidRPr="00EB7801" w:rsidRDefault="00F34AF0" w:rsidP="00343632">
      <w:pPr>
        <w:ind w:left="284" w:right="282"/>
        <w:rPr>
          <w:i/>
          <w:sz w:val="20"/>
          <w:szCs w:val="20"/>
        </w:rPr>
      </w:pPr>
      <w:r w:rsidRPr="00343632">
        <w:rPr>
          <w:b/>
          <w:bCs/>
          <w:i/>
          <w:iCs/>
          <w:sz w:val="20"/>
          <w:szCs w:val="20"/>
        </w:rPr>
        <w:t>2.</w:t>
      </w:r>
      <w:r w:rsidRPr="00343632">
        <w:rPr>
          <w:i/>
          <w:iCs/>
          <w:sz w:val="20"/>
          <w:szCs w:val="20"/>
        </w:rPr>
        <w:t xml:space="preserve"> Para los casos del contrato de arrendamiento, se otorgará hasta el momento en que se adquiera la vivienda de reposición, el cual </w:t>
      </w:r>
      <w:r w:rsidRPr="00343632">
        <w:rPr>
          <w:i/>
          <w:iCs/>
          <w:sz w:val="20"/>
          <w:szCs w:val="20"/>
          <w:u w:val="single"/>
        </w:rPr>
        <w:t>no podrá exceder el término de tres (3) años.</w:t>
      </w:r>
      <w:r w:rsidRPr="00EB7801">
        <w:rPr>
          <w:i/>
          <w:sz w:val="20"/>
          <w:szCs w:val="20"/>
        </w:rPr>
        <w:t xml:space="preserve"> </w:t>
      </w:r>
      <w:r w:rsidR="006F447B" w:rsidRPr="00EB7801">
        <w:rPr>
          <w:i/>
          <w:sz w:val="20"/>
          <w:szCs w:val="20"/>
        </w:rPr>
        <w:t>(Subrayado por fuera de texto)</w:t>
      </w:r>
    </w:p>
    <w:p w14:paraId="02BB25B5" w14:textId="77777777" w:rsidR="006F447B" w:rsidRPr="00343632" w:rsidRDefault="006F447B" w:rsidP="00343632">
      <w:pPr>
        <w:ind w:left="284" w:right="282"/>
        <w:rPr>
          <w:i/>
          <w:iCs/>
          <w:sz w:val="20"/>
          <w:szCs w:val="20"/>
        </w:rPr>
      </w:pPr>
    </w:p>
    <w:p w14:paraId="70DB3971" w14:textId="2C71F96D" w:rsidR="00F34AF0" w:rsidRPr="00F34AF0" w:rsidRDefault="00F34AF0" w:rsidP="00343632">
      <w:pPr>
        <w:ind w:left="284" w:right="282"/>
        <w:rPr>
          <w:rFonts w:cs="Arial"/>
          <w:i/>
          <w:iCs/>
          <w:sz w:val="20"/>
          <w:szCs w:val="20"/>
          <w:lang w:eastAsia="es-CO"/>
        </w:rPr>
      </w:pPr>
      <w:r w:rsidRPr="00343632">
        <w:rPr>
          <w:b/>
          <w:bCs/>
          <w:i/>
          <w:iCs/>
          <w:sz w:val="20"/>
          <w:szCs w:val="20"/>
        </w:rPr>
        <w:t>Parágrafo.</w:t>
      </w:r>
      <w:r w:rsidRPr="00343632">
        <w:rPr>
          <w:i/>
          <w:iCs/>
          <w:sz w:val="20"/>
          <w:szCs w:val="20"/>
        </w:rPr>
        <w:t xml:space="preserve"> La Caja de la Vivienda Popular reglamentará, dentro de los seis (6) meses siguientes a la entrada en vigencia del presente Decreto, el otorgamiento de la ayuda de relocalización transitoria, a través de un acto administrativo y podrá prorrogar los aportes de relocalización transitoria a las familias vinculadas a un proyecto habitacional, hasta la fecha de entrega efectiva del inmueble, de conformidad con la disponibilidad presupuestal y la corresponsabilidad de la familia en </w:t>
      </w:r>
      <w:r w:rsidR="0012294E" w:rsidRPr="00343632">
        <w:rPr>
          <w:i/>
          <w:iCs/>
          <w:sz w:val="20"/>
          <w:szCs w:val="20"/>
        </w:rPr>
        <w:t>el</w:t>
      </w:r>
      <w:r w:rsidRPr="00343632">
        <w:rPr>
          <w:i/>
          <w:iCs/>
          <w:sz w:val="20"/>
          <w:szCs w:val="20"/>
        </w:rPr>
        <w:t xml:space="preserve"> programa</w:t>
      </w:r>
      <w:r w:rsidR="00343632">
        <w:rPr>
          <w:i/>
          <w:iCs/>
          <w:sz w:val="20"/>
          <w:szCs w:val="20"/>
        </w:rPr>
        <w:t>”</w:t>
      </w:r>
      <w:r w:rsidRPr="00343632">
        <w:rPr>
          <w:i/>
          <w:iCs/>
          <w:sz w:val="20"/>
          <w:szCs w:val="20"/>
        </w:rPr>
        <w:t>.</w:t>
      </w:r>
    </w:p>
    <w:p w14:paraId="4DB5C0B3" w14:textId="459D3BD9" w:rsidR="00F34AF0" w:rsidRDefault="00F34AF0" w:rsidP="009E4898">
      <w:pPr>
        <w:rPr>
          <w:rFonts w:cs="Arial"/>
          <w:sz w:val="22"/>
          <w:szCs w:val="22"/>
          <w:lang w:eastAsia="es-CO"/>
        </w:rPr>
      </w:pPr>
      <w:r>
        <w:rPr>
          <w:rFonts w:cs="Arial"/>
          <w:sz w:val="22"/>
          <w:szCs w:val="22"/>
          <w:lang w:eastAsia="es-CO"/>
        </w:rPr>
        <w:t xml:space="preserve">                                                                                   </w:t>
      </w:r>
    </w:p>
    <w:p w14:paraId="0200DC93" w14:textId="3CE6DD56" w:rsidR="008F6E95" w:rsidRPr="00E23DF2" w:rsidRDefault="008B4FC8" w:rsidP="00EE14A5">
      <w:pPr>
        <w:rPr>
          <w:rFonts w:cs="Arial"/>
          <w:sz w:val="22"/>
          <w:szCs w:val="22"/>
          <w:lang w:eastAsia="es-CO"/>
        </w:rPr>
      </w:pPr>
      <w:r w:rsidRPr="00E23DF2">
        <w:rPr>
          <w:rFonts w:cs="Arial"/>
          <w:sz w:val="22"/>
          <w:szCs w:val="22"/>
          <w:lang w:eastAsia="es-CO"/>
        </w:rPr>
        <w:t>Que</w:t>
      </w:r>
      <w:r w:rsidR="0012294E" w:rsidRPr="00E23DF2">
        <w:rPr>
          <w:rFonts w:cs="Arial"/>
          <w:sz w:val="22"/>
          <w:szCs w:val="22"/>
          <w:lang w:eastAsia="es-CO"/>
        </w:rPr>
        <w:t>,</w:t>
      </w:r>
      <w:r w:rsidRPr="00E23DF2">
        <w:rPr>
          <w:rFonts w:cs="Arial"/>
          <w:sz w:val="22"/>
          <w:szCs w:val="22"/>
          <w:lang w:eastAsia="es-CO"/>
        </w:rPr>
        <w:t xml:space="preserve"> </w:t>
      </w:r>
      <w:r w:rsidR="00EE14A5" w:rsidRPr="00E23DF2">
        <w:rPr>
          <w:rFonts w:cs="Arial"/>
          <w:sz w:val="22"/>
          <w:szCs w:val="22"/>
          <w:lang w:eastAsia="es-CO"/>
        </w:rPr>
        <w:t xml:space="preserve">en virtud de la </w:t>
      </w:r>
      <w:r w:rsidRPr="00E23DF2">
        <w:rPr>
          <w:rFonts w:cs="Arial"/>
          <w:sz w:val="22"/>
          <w:szCs w:val="22"/>
          <w:lang w:eastAsia="es-CO"/>
        </w:rPr>
        <w:t xml:space="preserve">competencia </w:t>
      </w:r>
      <w:r w:rsidR="00EE14A5" w:rsidRPr="00E23DF2">
        <w:rPr>
          <w:rFonts w:cs="Arial"/>
          <w:sz w:val="22"/>
          <w:szCs w:val="22"/>
          <w:lang w:eastAsia="es-CO"/>
        </w:rPr>
        <w:t xml:space="preserve">otorgada a la Caja de la Vivienda Popular </w:t>
      </w:r>
      <w:r w:rsidRPr="00E23DF2">
        <w:rPr>
          <w:rFonts w:cs="Arial"/>
          <w:sz w:val="22"/>
          <w:szCs w:val="22"/>
          <w:lang w:eastAsia="es-CO"/>
        </w:rPr>
        <w:t xml:space="preserve">por el mencionado Decreto Distrital, se emitió </w:t>
      </w:r>
      <w:r w:rsidR="00EE14A5" w:rsidRPr="00E23DF2">
        <w:rPr>
          <w:rFonts w:cs="Arial"/>
          <w:sz w:val="22"/>
          <w:szCs w:val="22"/>
          <w:lang w:eastAsia="es-CO"/>
        </w:rPr>
        <w:t xml:space="preserve">la Resolución 1139 de 2022 </w:t>
      </w:r>
      <w:r w:rsidRPr="00E23DF2">
        <w:rPr>
          <w:rFonts w:cs="Arial"/>
          <w:sz w:val="22"/>
          <w:szCs w:val="22"/>
          <w:lang w:eastAsia="es-CO"/>
        </w:rPr>
        <w:t>“</w:t>
      </w:r>
      <w:r w:rsidRPr="00E23DF2">
        <w:rPr>
          <w:rFonts w:cs="Arial"/>
          <w:i/>
          <w:iCs/>
          <w:sz w:val="22"/>
          <w:szCs w:val="22"/>
          <w:lang w:eastAsia="es-CO"/>
        </w:rPr>
        <w:t>Por medio de la cual se</w:t>
      </w:r>
      <w:r w:rsidR="00EE14A5" w:rsidRPr="00E23DF2">
        <w:rPr>
          <w:rFonts w:cs="Arial"/>
          <w:i/>
          <w:iCs/>
          <w:sz w:val="22"/>
          <w:szCs w:val="22"/>
          <w:lang w:eastAsia="es-CO"/>
        </w:rPr>
        <w:t xml:space="preserve"> reglament</w:t>
      </w:r>
      <w:r w:rsidRPr="00E23DF2">
        <w:rPr>
          <w:rFonts w:cs="Arial"/>
          <w:i/>
          <w:iCs/>
          <w:sz w:val="22"/>
          <w:szCs w:val="22"/>
          <w:lang w:eastAsia="es-CO"/>
        </w:rPr>
        <w:t>a</w:t>
      </w:r>
      <w:r w:rsidR="00EE14A5" w:rsidRPr="00E23DF2">
        <w:rPr>
          <w:rFonts w:cs="Arial"/>
          <w:i/>
          <w:iCs/>
          <w:sz w:val="22"/>
          <w:szCs w:val="22"/>
          <w:lang w:eastAsia="es-CO"/>
        </w:rPr>
        <w:t xml:space="preserve"> el proceso de reasentamiento de hogares localizados en zonas de </w:t>
      </w:r>
      <w:r w:rsidR="00EE14A5" w:rsidRPr="00E23DF2">
        <w:rPr>
          <w:rFonts w:cs="Arial"/>
          <w:i/>
          <w:iCs/>
          <w:sz w:val="22"/>
          <w:szCs w:val="22"/>
          <w:lang w:eastAsia="es-CO"/>
        </w:rPr>
        <w:lastRenderedPageBreak/>
        <w:t>alto riesgo no mitigable del D.C. o las ordenadas mediante sentencias judiciales o actos administrativos</w:t>
      </w:r>
      <w:r w:rsidRPr="00E23DF2">
        <w:rPr>
          <w:rFonts w:cs="Arial"/>
          <w:i/>
          <w:iCs/>
          <w:sz w:val="22"/>
          <w:szCs w:val="22"/>
          <w:lang w:eastAsia="es-CO"/>
        </w:rPr>
        <w:t xml:space="preserve"> y se adoptan otras disposiciones</w:t>
      </w:r>
      <w:r w:rsidR="00EE14A5" w:rsidRPr="00E23DF2">
        <w:rPr>
          <w:rFonts w:cs="Arial"/>
          <w:sz w:val="22"/>
          <w:szCs w:val="22"/>
          <w:lang w:eastAsia="es-CO"/>
        </w:rPr>
        <w:t>”</w:t>
      </w:r>
      <w:r w:rsidR="00B40E1A">
        <w:rPr>
          <w:rFonts w:cs="Arial"/>
          <w:sz w:val="22"/>
          <w:szCs w:val="22"/>
          <w:lang w:eastAsia="es-CO"/>
        </w:rPr>
        <w:t>.</w:t>
      </w:r>
    </w:p>
    <w:p w14:paraId="57610C93" w14:textId="77777777" w:rsidR="0012294E" w:rsidRPr="00E23DF2" w:rsidRDefault="0012294E" w:rsidP="00EE14A5">
      <w:pPr>
        <w:rPr>
          <w:rFonts w:cs="Arial"/>
          <w:sz w:val="22"/>
          <w:szCs w:val="22"/>
          <w:lang w:eastAsia="es-CO"/>
        </w:rPr>
      </w:pPr>
    </w:p>
    <w:p w14:paraId="48C5E0E8" w14:textId="000F4D0F" w:rsidR="008B4FC8" w:rsidRPr="00E23DF2" w:rsidRDefault="008F6E95" w:rsidP="009E4898">
      <w:pPr>
        <w:rPr>
          <w:rFonts w:cs="Arial"/>
          <w:sz w:val="22"/>
          <w:szCs w:val="22"/>
          <w:lang w:eastAsia="es-CO"/>
        </w:rPr>
      </w:pPr>
      <w:r w:rsidRPr="00E23DF2">
        <w:rPr>
          <w:rFonts w:cs="Arial"/>
          <w:sz w:val="22"/>
          <w:szCs w:val="22"/>
          <w:lang w:eastAsia="es-CO"/>
        </w:rPr>
        <w:t xml:space="preserve">Que el inciso a. del artículo 9 del mencionado </w:t>
      </w:r>
      <w:r w:rsidR="008B4FC8" w:rsidRPr="00E23DF2">
        <w:rPr>
          <w:rFonts w:cs="Arial"/>
          <w:sz w:val="22"/>
          <w:szCs w:val="22"/>
          <w:lang w:eastAsia="es-CO"/>
        </w:rPr>
        <w:t xml:space="preserve">acto administrativo </w:t>
      </w:r>
      <w:r w:rsidRPr="00E23DF2">
        <w:rPr>
          <w:rFonts w:cs="Arial"/>
          <w:sz w:val="22"/>
          <w:szCs w:val="22"/>
          <w:lang w:eastAsia="es-CO"/>
        </w:rPr>
        <w:t>establece</w:t>
      </w:r>
      <w:r w:rsidR="006F447B" w:rsidRPr="00E23DF2">
        <w:rPr>
          <w:rFonts w:cs="Arial"/>
          <w:sz w:val="22"/>
          <w:szCs w:val="22"/>
          <w:lang w:eastAsia="es-CO"/>
        </w:rPr>
        <w:t xml:space="preserve">: </w:t>
      </w:r>
    </w:p>
    <w:p w14:paraId="73B9E582" w14:textId="77777777" w:rsidR="006F447B" w:rsidRDefault="006F447B" w:rsidP="009E4898">
      <w:pPr>
        <w:rPr>
          <w:rFonts w:cs="Arial"/>
          <w:sz w:val="22"/>
          <w:szCs w:val="22"/>
          <w:lang w:eastAsia="es-CO"/>
        </w:rPr>
      </w:pPr>
    </w:p>
    <w:p w14:paraId="52AB4FC5" w14:textId="1BD3CDD5" w:rsidR="006F447B" w:rsidRPr="006F447B" w:rsidRDefault="00343632" w:rsidP="00343632">
      <w:pPr>
        <w:ind w:left="284" w:right="282"/>
        <w:rPr>
          <w:rFonts w:cs="Arial"/>
          <w:i/>
          <w:iCs/>
          <w:sz w:val="20"/>
          <w:szCs w:val="20"/>
          <w:lang w:eastAsia="es-CO"/>
        </w:rPr>
      </w:pPr>
      <w:r>
        <w:rPr>
          <w:b/>
          <w:bCs/>
          <w:i/>
          <w:iCs/>
          <w:sz w:val="20"/>
          <w:szCs w:val="20"/>
        </w:rPr>
        <w:t>“</w:t>
      </w:r>
      <w:r w:rsidR="006F447B" w:rsidRPr="006F447B">
        <w:rPr>
          <w:b/>
          <w:bCs/>
          <w:i/>
          <w:iCs/>
          <w:sz w:val="20"/>
          <w:szCs w:val="20"/>
        </w:rPr>
        <w:t>Artículo 9.</w:t>
      </w:r>
      <w:r w:rsidR="006F447B" w:rsidRPr="006F447B">
        <w:rPr>
          <w:i/>
          <w:iCs/>
          <w:sz w:val="20"/>
          <w:szCs w:val="20"/>
        </w:rPr>
        <w:t xml:space="preserve"> </w:t>
      </w:r>
      <w:r w:rsidR="006F447B" w:rsidRPr="006F447B">
        <w:rPr>
          <w:b/>
          <w:bCs/>
          <w:i/>
          <w:iCs/>
          <w:sz w:val="20"/>
          <w:szCs w:val="20"/>
        </w:rPr>
        <w:t>Aplicación y temporalidad de la ayuda de Relocalización Transitoria:</w:t>
      </w:r>
      <w:r w:rsidR="006F447B" w:rsidRPr="006F447B">
        <w:rPr>
          <w:i/>
          <w:iCs/>
          <w:sz w:val="20"/>
          <w:szCs w:val="20"/>
        </w:rPr>
        <w:t xml:space="preserve"> Se otorgará la ayuda de relocalización transitoria en los siguientes casos:</w:t>
      </w:r>
      <w:r w:rsidR="006F447B" w:rsidRPr="006F447B">
        <w:rPr>
          <w:rFonts w:cs="Arial"/>
          <w:i/>
          <w:iCs/>
          <w:sz w:val="20"/>
          <w:szCs w:val="20"/>
          <w:lang w:eastAsia="es-CO"/>
        </w:rPr>
        <w:tab/>
      </w:r>
    </w:p>
    <w:p w14:paraId="1B81F6F4" w14:textId="77777777" w:rsidR="006F447B" w:rsidRPr="006F447B" w:rsidRDefault="006F447B" w:rsidP="00343632">
      <w:pPr>
        <w:ind w:left="284" w:right="282" w:firstLine="708"/>
        <w:rPr>
          <w:rFonts w:cs="Arial"/>
          <w:i/>
          <w:iCs/>
          <w:sz w:val="20"/>
          <w:szCs w:val="20"/>
          <w:lang w:eastAsia="es-CO"/>
        </w:rPr>
      </w:pPr>
    </w:p>
    <w:p w14:paraId="51E73D9D" w14:textId="5F56676C" w:rsidR="006F447B" w:rsidRPr="006F447B" w:rsidRDefault="006F447B" w:rsidP="00343632">
      <w:pPr>
        <w:ind w:left="284" w:right="282"/>
        <w:rPr>
          <w:sz w:val="20"/>
          <w:szCs w:val="20"/>
        </w:rPr>
      </w:pPr>
      <w:r w:rsidRPr="006F447B">
        <w:rPr>
          <w:i/>
          <w:iCs/>
          <w:sz w:val="20"/>
          <w:szCs w:val="20"/>
        </w:rPr>
        <w:t xml:space="preserve">a. En los eventos de evacuación reportados por EL IDIGER, </w:t>
      </w:r>
      <w:r w:rsidRPr="006F447B">
        <w:rPr>
          <w:i/>
          <w:iCs/>
          <w:sz w:val="20"/>
          <w:szCs w:val="20"/>
          <w:u w:val="single"/>
        </w:rPr>
        <w:t>hasta por doce 12 meses</w:t>
      </w:r>
      <w:r w:rsidRPr="006F447B">
        <w:rPr>
          <w:i/>
          <w:iCs/>
          <w:sz w:val="20"/>
          <w:szCs w:val="20"/>
        </w:rPr>
        <w:t>, tiempo durante el cual deberá el beneficiario adelantar las acciones a que haya lugar para la transferencia del predio recomendado a la CVP y la adquisición de una vivienda de reposición cuando ello proceda</w:t>
      </w:r>
      <w:r w:rsidR="00343632">
        <w:rPr>
          <w:i/>
          <w:iCs/>
          <w:sz w:val="20"/>
          <w:szCs w:val="20"/>
        </w:rPr>
        <w:t>”</w:t>
      </w:r>
      <w:r w:rsidRPr="006F447B">
        <w:rPr>
          <w:i/>
          <w:iCs/>
          <w:sz w:val="20"/>
          <w:szCs w:val="20"/>
        </w:rPr>
        <w:t>.</w:t>
      </w:r>
      <w:r>
        <w:rPr>
          <w:i/>
          <w:iCs/>
          <w:sz w:val="20"/>
          <w:szCs w:val="20"/>
        </w:rPr>
        <w:t xml:space="preserve"> </w:t>
      </w:r>
      <w:r w:rsidRPr="006F447B">
        <w:rPr>
          <w:sz w:val="20"/>
          <w:szCs w:val="20"/>
        </w:rPr>
        <w:t>(Subrayado por fuera de texto)</w:t>
      </w:r>
    </w:p>
    <w:p w14:paraId="3C491FB2" w14:textId="2F33853B" w:rsidR="006F447B" w:rsidRPr="006F447B" w:rsidRDefault="006F447B" w:rsidP="006F447B">
      <w:pPr>
        <w:ind w:left="708"/>
        <w:rPr>
          <w:rFonts w:cs="Arial"/>
          <w:sz w:val="20"/>
          <w:szCs w:val="20"/>
          <w:lang w:eastAsia="es-CO"/>
        </w:rPr>
      </w:pPr>
    </w:p>
    <w:p w14:paraId="558DC5B2" w14:textId="39FFD5EC" w:rsidR="0041099B" w:rsidRPr="00E23DF2" w:rsidRDefault="00583640" w:rsidP="009E4898">
      <w:pPr>
        <w:rPr>
          <w:rFonts w:cs="Arial"/>
          <w:sz w:val="22"/>
          <w:szCs w:val="22"/>
          <w:lang w:eastAsia="es-CO"/>
        </w:rPr>
      </w:pPr>
      <w:r w:rsidRPr="00E23DF2">
        <w:rPr>
          <w:rFonts w:cs="Arial"/>
          <w:sz w:val="22"/>
          <w:szCs w:val="22"/>
          <w:lang w:val="es-CO" w:eastAsia="es-CO"/>
        </w:rPr>
        <w:t xml:space="preserve">Que como se observa, el </w:t>
      </w:r>
      <w:r w:rsidRPr="00E23DF2">
        <w:rPr>
          <w:rFonts w:cs="Arial"/>
          <w:sz w:val="22"/>
          <w:szCs w:val="22"/>
          <w:lang w:eastAsia="es-CO"/>
        </w:rPr>
        <w:t xml:space="preserve">inciso a. del artículo 9 </w:t>
      </w:r>
      <w:r w:rsidR="00943D75" w:rsidRPr="00E23DF2">
        <w:rPr>
          <w:rFonts w:cs="Arial"/>
          <w:sz w:val="22"/>
          <w:szCs w:val="22"/>
          <w:lang w:eastAsia="es-CO"/>
        </w:rPr>
        <w:t>de la Resolución 1139 de 2022</w:t>
      </w:r>
      <w:r w:rsidR="00343632">
        <w:rPr>
          <w:rFonts w:cs="Arial"/>
          <w:sz w:val="22"/>
          <w:szCs w:val="22"/>
          <w:lang w:eastAsia="es-CO"/>
        </w:rPr>
        <w:t>,</w:t>
      </w:r>
      <w:r w:rsidR="00943D75" w:rsidRPr="00E23DF2">
        <w:rPr>
          <w:rFonts w:cs="Arial"/>
          <w:sz w:val="22"/>
          <w:szCs w:val="22"/>
          <w:lang w:eastAsia="es-CO"/>
        </w:rPr>
        <w:t xml:space="preserve"> </w:t>
      </w:r>
      <w:r w:rsidR="0041099B" w:rsidRPr="00E23DF2">
        <w:rPr>
          <w:rFonts w:cs="Arial"/>
          <w:sz w:val="22"/>
          <w:szCs w:val="22"/>
          <w:lang w:eastAsia="es-CO"/>
        </w:rPr>
        <w:t>modificó</w:t>
      </w:r>
      <w:r w:rsidR="00343632">
        <w:rPr>
          <w:rFonts w:cs="Arial"/>
          <w:sz w:val="22"/>
          <w:szCs w:val="22"/>
          <w:lang w:eastAsia="es-CO"/>
        </w:rPr>
        <w:t xml:space="preserve"> el plazo máximo de</w:t>
      </w:r>
      <w:r w:rsidRPr="00E23DF2">
        <w:rPr>
          <w:rFonts w:cs="Arial"/>
          <w:sz w:val="22"/>
          <w:szCs w:val="22"/>
          <w:lang w:eastAsia="es-CO"/>
        </w:rPr>
        <w:t xml:space="preserve">l término </w:t>
      </w:r>
      <w:r w:rsidR="00943D75" w:rsidRPr="00E23DF2">
        <w:rPr>
          <w:rFonts w:cs="Arial"/>
          <w:sz w:val="22"/>
          <w:szCs w:val="22"/>
          <w:lang w:eastAsia="es-CO"/>
        </w:rPr>
        <w:t xml:space="preserve">establecido </w:t>
      </w:r>
      <w:r w:rsidR="0041099B" w:rsidRPr="00E23DF2">
        <w:rPr>
          <w:rFonts w:cs="Arial"/>
          <w:sz w:val="22"/>
          <w:szCs w:val="22"/>
          <w:lang w:eastAsia="es-CO"/>
        </w:rPr>
        <w:t xml:space="preserve">en el artículo 12 del Decreto Distrital 330 de 2021, </w:t>
      </w:r>
      <w:r w:rsidR="00343632" w:rsidRPr="00E23DF2">
        <w:rPr>
          <w:rFonts w:cs="Arial"/>
          <w:sz w:val="22"/>
          <w:szCs w:val="22"/>
          <w:lang w:eastAsia="es-CO"/>
        </w:rPr>
        <w:t>reduciéndo</w:t>
      </w:r>
      <w:r w:rsidR="00DD0953">
        <w:rPr>
          <w:rFonts w:cs="Arial"/>
          <w:sz w:val="22"/>
          <w:szCs w:val="22"/>
          <w:lang w:eastAsia="es-CO"/>
        </w:rPr>
        <w:t>lo</w:t>
      </w:r>
      <w:r w:rsidR="0041099B" w:rsidRPr="00E23DF2">
        <w:rPr>
          <w:rFonts w:cs="Arial"/>
          <w:sz w:val="22"/>
          <w:szCs w:val="22"/>
          <w:lang w:eastAsia="es-CO"/>
        </w:rPr>
        <w:t xml:space="preserve"> de 3 años a 12 meses</w:t>
      </w:r>
      <w:r w:rsidR="00343632">
        <w:rPr>
          <w:rFonts w:cs="Arial"/>
          <w:sz w:val="22"/>
          <w:szCs w:val="22"/>
          <w:lang w:eastAsia="es-CO"/>
        </w:rPr>
        <w:t xml:space="preserve"> </w:t>
      </w:r>
      <w:r w:rsidR="0041099B" w:rsidRPr="00E23DF2">
        <w:rPr>
          <w:rFonts w:cs="Arial"/>
          <w:sz w:val="22"/>
          <w:szCs w:val="22"/>
          <w:lang w:eastAsia="es-CO"/>
        </w:rPr>
        <w:t xml:space="preserve">para </w:t>
      </w:r>
      <w:r w:rsidRPr="00E23DF2">
        <w:rPr>
          <w:rFonts w:cs="Arial"/>
          <w:sz w:val="22"/>
          <w:szCs w:val="22"/>
          <w:lang w:eastAsia="es-CO"/>
        </w:rPr>
        <w:t xml:space="preserve">el otorgamiento de la Ayuda de Relocalización Transitoria en </w:t>
      </w:r>
      <w:r w:rsidR="00943D75" w:rsidRPr="00E23DF2">
        <w:rPr>
          <w:rFonts w:cs="Arial"/>
          <w:sz w:val="22"/>
          <w:szCs w:val="22"/>
          <w:lang w:eastAsia="es-CO"/>
        </w:rPr>
        <w:t>los</w:t>
      </w:r>
      <w:r w:rsidRPr="00E23DF2">
        <w:rPr>
          <w:rFonts w:cs="Arial"/>
          <w:sz w:val="22"/>
          <w:szCs w:val="22"/>
          <w:lang w:eastAsia="es-CO"/>
        </w:rPr>
        <w:t xml:space="preserve"> casos de las familias reportadas por El IDIGER como evacuadas</w:t>
      </w:r>
      <w:r w:rsidR="0041099B" w:rsidRPr="00E23DF2">
        <w:rPr>
          <w:rFonts w:cs="Arial"/>
          <w:sz w:val="22"/>
          <w:szCs w:val="22"/>
          <w:lang w:eastAsia="es-CO"/>
        </w:rPr>
        <w:t>.</w:t>
      </w:r>
    </w:p>
    <w:p w14:paraId="2FA0D75C" w14:textId="77777777" w:rsidR="0041099B" w:rsidRPr="00E23DF2" w:rsidRDefault="0041099B" w:rsidP="009E4898">
      <w:pPr>
        <w:rPr>
          <w:rFonts w:cs="Arial"/>
          <w:sz w:val="22"/>
          <w:szCs w:val="22"/>
          <w:lang w:eastAsia="es-CO"/>
        </w:rPr>
      </w:pPr>
    </w:p>
    <w:p w14:paraId="3351D6D7" w14:textId="089F9381" w:rsidR="00EE14A5" w:rsidRDefault="000C449C" w:rsidP="009E4898">
      <w:pPr>
        <w:rPr>
          <w:rFonts w:cs="Arial"/>
          <w:sz w:val="22"/>
          <w:szCs w:val="22"/>
          <w:lang w:eastAsia="es-CO"/>
        </w:rPr>
      </w:pPr>
      <w:r w:rsidRPr="00E23DF2">
        <w:rPr>
          <w:rFonts w:cs="Arial"/>
          <w:sz w:val="22"/>
          <w:szCs w:val="22"/>
          <w:lang w:val="es-CO" w:eastAsia="es-CO"/>
        </w:rPr>
        <w:t>Que,</w:t>
      </w:r>
      <w:r w:rsidR="004615AA" w:rsidRPr="00E23DF2">
        <w:rPr>
          <w:rFonts w:cs="Arial"/>
          <w:sz w:val="22"/>
          <w:szCs w:val="22"/>
          <w:lang w:val="es-CO" w:eastAsia="es-CO"/>
        </w:rPr>
        <w:t xml:space="preserve"> en consonancia con lo expuesto</w:t>
      </w:r>
      <w:r w:rsidR="00343632">
        <w:rPr>
          <w:rFonts w:cs="Arial"/>
          <w:sz w:val="22"/>
          <w:szCs w:val="22"/>
          <w:lang w:val="es-CO" w:eastAsia="es-CO"/>
        </w:rPr>
        <w:t>,</w:t>
      </w:r>
      <w:r w:rsidR="004615AA" w:rsidRPr="00E23DF2">
        <w:rPr>
          <w:rFonts w:cs="Arial"/>
          <w:sz w:val="22"/>
          <w:szCs w:val="22"/>
          <w:lang w:val="es-CO" w:eastAsia="es-CO"/>
        </w:rPr>
        <w:t xml:space="preserve"> se hace necesario modificar el </w:t>
      </w:r>
      <w:r w:rsidR="004615AA" w:rsidRPr="00E23DF2">
        <w:rPr>
          <w:rFonts w:cs="Arial"/>
          <w:sz w:val="22"/>
          <w:szCs w:val="22"/>
          <w:lang w:eastAsia="es-CO"/>
        </w:rPr>
        <w:t>inciso a. del artículo 9 de la Resolución 1139 de 2022</w:t>
      </w:r>
      <w:r w:rsidR="00336F22" w:rsidRPr="00E23DF2">
        <w:rPr>
          <w:rFonts w:cs="Arial"/>
          <w:sz w:val="22"/>
          <w:szCs w:val="22"/>
          <w:lang w:eastAsia="es-CO"/>
        </w:rPr>
        <w:t xml:space="preserve"> </w:t>
      </w:r>
      <w:r w:rsidR="005544C6" w:rsidRPr="00E23DF2">
        <w:rPr>
          <w:rFonts w:cs="Arial"/>
          <w:sz w:val="22"/>
          <w:szCs w:val="22"/>
          <w:lang w:eastAsia="es-CO"/>
        </w:rPr>
        <w:t>a</w:t>
      </w:r>
      <w:r w:rsidR="00B40E1A">
        <w:rPr>
          <w:rFonts w:cs="Arial"/>
          <w:sz w:val="22"/>
          <w:szCs w:val="22"/>
          <w:lang w:eastAsia="es-CO"/>
        </w:rPr>
        <w:t xml:space="preserve"> fin de mantener el término </w:t>
      </w:r>
      <w:r w:rsidR="00336F22" w:rsidRPr="00E23DF2">
        <w:rPr>
          <w:rFonts w:cs="Arial"/>
          <w:sz w:val="22"/>
          <w:szCs w:val="22"/>
          <w:lang w:eastAsia="es-CO"/>
        </w:rPr>
        <w:t xml:space="preserve">establecido en el </w:t>
      </w:r>
      <w:r w:rsidR="005544C6" w:rsidRPr="00E23DF2">
        <w:rPr>
          <w:rFonts w:cs="Arial"/>
          <w:sz w:val="22"/>
          <w:szCs w:val="22"/>
          <w:lang w:eastAsia="es-CO"/>
        </w:rPr>
        <w:t xml:space="preserve">Decreto Distrital </w:t>
      </w:r>
      <w:r w:rsidR="00336F22" w:rsidRPr="00E23DF2">
        <w:rPr>
          <w:rFonts w:cs="Arial"/>
          <w:sz w:val="22"/>
          <w:szCs w:val="22"/>
          <w:lang w:eastAsia="es-CO"/>
        </w:rPr>
        <w:t xml:space="preserve">330 de 2021 en lo referente al </w:t>
      </w:r>
      <w:r w:rsidR="00450A98">
        <w:rPr>
          <w:rFonts w:cs="Arial"/>
          <w:sz w:val="22"/>
          <w:szCs w:val="22"/>
          <w:lang w:eastAsia="es-CO"/>
        </w:rPr>
        <w:t>plazo</w:t>
      </w:r>
      <w:r w:rsidR="00336F22" w:rsidRPr="00E23DF2">
        <w:rPr>
          <w:rFonts w:cs="Arial"/>
          <w:sz w:val="22"/>
          <w:szCs w:val="22"/>
          <w:lang w:eastAsia="es-CO"/>
        </w:rPr>
        <w:t xml:space="preserve"> para el otorgamiento de la Ayuda de Relocalización Transitoria</w:t>
      </w:r>
      <w:r w:rsidR="005544C6" w:rsidRPr="00E23DF2">
        <w:rPr>
          <w:rFonts w:cs="Arial"/>
          <w:sz w:val="22"/>
          <w:szCs w:val="22"/>
          <w:lang w:eastAsia="es-CO"/>
        </w:rPr>
        <w:t xml:space="preserve"> en los eventos de las familias evacuadas</w:t>
      </w:r>
      <w:r w:rsidR="00336F22" w:rsidRPr="00E23DF2">
        <w:rPr>
          <w:rFonts w:cs="Arial"/>
          <w:sz w:val="22"/>
          <w:szCs w:val="22"/>
          <w:lang w:eastAsia="es-CO"/>
        </w:rPr>
        <w:t xml:space="preserve">. </w:t>
      </w:r>
    </w:p>
    <w:p w14:paraId="3124AC1A" w14:textId="3F085872" w:rsidR="00343632" w:rsidRDefault="00343632" w:rsidP="009E4898">
      <w:pPr>
        <w:rPr>
          <w:rFonts w:cs="Arial"/>
          <w:sz w:val="22"/>
          <w:szCs w:val="22"/>
          <w:lang w:eastAsia="es-CO"/>
        </w:rPr>
      </w:pPr>
    </w:p>
    <w:p w14:paraId="08D7247B" w14:textId="573488B6" w:rsidR="000743CC" w:rsidRPr="000743CC" w:rsidRDefault="000743CC" w:rsidP="000743CC">
      <w:r w:rsidRPr="000743CC">
        <w:rPr>
          <w:rFonts w:cs="Arial"/>
          <w:lang w:eastAsia="es-CO"/>
        </w:rPr>
        <w:t xml:space="preserve">Que el </w:t>
      </w:r>
      <w:r w:rsidRPr="000743CC">
        <w:t xml:space="preserve">Artículo 18 </w:t>
      </w:r>
      <w:r w:rsidRPr="000743CC">
        <w:rPr>
          <w:rFonts w:cs="Arial"/>
          <w:lang w:eastAsia="es-CO"/>
        </w:rPr>
        <w:t>de la Resolución 1139 de 2022 establece</w:t>
      </w:r>
      <w:r w:rsidR="00450A98">
        <w:rPr>
          <w:rFonts w:cs="Arial"/>
          <w:lang w:eastAsia="es-CO"/>
        </w:rPr>
        <w:t>:</w:t>
      </w:r>
      <w:r w:rsidRPr="000743CC">
        <w:rPr>
          <w:rFonts w:cs="Arial"/>
          <w:lang w:eastAsia="es-CO"/>
        </w:rPr>
        <w:t xml:space="preserve"> </w:t>
      </w:r>
    </w:p>
    <w:p w14:paraId="409F2C58" w14:textId="49E536D5" w:rsidR="000743CC" w:rsidRPr="000743CC" w:rsidRDefault="000743CC" w:rsidP="000743CC"/>
    <w:p w14:paraId="35750582" w14:textId="3EC29492" w:rsidR="000743CC" w:rsidRPr="000743CC" w:rsidRDefault="00450A98" w:rsidP="00450A98">
      <w:pPr>
        <w:ind w:left="284" w:right="282"/>
        <w:rPr>
          <w:i/>
          <w:iCs/>
          <w:sz w:val="20"/>
          <w:szCs w:val="20"/>
        </w:rPr>
      </w:pPr>
      <w:r>
        <w:rPr>
          <w:i/>
          <w:iCs/>
          <w:sz w:val="20"/>
          <w:szCs w:val="20"/>
        </w:rPr>
        <w:t>“</w:t>
      </w:r>
      <w:r w:rsidR="000743CC" w:rsidRPr="000743CC">
        <w:rPr>
          <w:i/>
          <w:iCs/>
          <w:sz w:val="20"/>
          <w:szCs w:val="20"/>
        </w:rPr>
        <w:t>Artículo 18 Término para la adquisición de la vivienda de reposición. Los hogares contarán con el término de un (1) año a partir de la comunicación de la factibilidad para adquirir la vivienda de reposición definitiva nueva o usada, dicho término podrá prorrogarse hasta por seis (6) meses adicionales en situaciones de fuerza mayor o caso fortuito debidamente probadas. Dentro del término antes señalado, cuando proceda, se deberá realizar la inscripción del acto de transferencia del derecho de dominio en el respectivo folio de matrícula inmobiliaria de la alternativa de reposición.</w:t>
      </w:r>
    </w:p>
    <w:p w14:paraId="65612863" w14:textId="2D034558" w:rsidR="000743CC" w:rsidRPr="000743CC" w:rsidRDefault="000743CC" w:rsidP="00450A98">
      <w:pPr>
        <w:ind w:left="284" w:right="282"/>
        <w:rPr>
          <w:i/>
          <w:iCs/>
          <w:sz w:val="20"/>
          <w:szCs w:val="20"/>
        </w:rPr>
      </w:pPr>
    </w:p>
    <w:p w14:paraId="5B5747D6" w14:textId="46A8C399" w:rsidR="000743CC" w:rsidRPr="000743CC" w:rsidRDefault="000743CC" w:rsidP="00450A98">
      <w:pPr>
        <w:ind w:left="284" w:right="282"/>
        <w:rPr>
          <w:i/>
          <w:iCs/>
          <w:sz w:val="20"/>
          <w:szCs w:val="20"/>
        </w:rPr>
      </w:pPr>
      <w:r w:rsidRPr="000743CC">
        <w:rPr>
          <w:i/>
          <w:iCs/>
          <w:sz w:val="20"/>
          <w:szCs w:val="20"/>
        </w:rPr>
        <w:t xml:space="preserve">Parágrafo 1. A Los titulares que tengan asignado un Valor Único de Reconocimiento -VUR antes de la entrada en vigencia del Decreto 330 de 2020, que hayan entregado el predio en alto riesgo y no hayan adquirido una vivienda de reposición; se les podrá adquirir el inmueble en alto riesgo mediante la modalidad de reasentamiento por enajenación voluntaria directa, o expropiación administrativa o judicial en los términos señalados en las Leyes 9 de 1989, 388 de 1997, 1753 de 2015 y demás normas concordantes. </w:t>
      </w:r>
    </w:p>
    <w:p w14:paraId="3E6BCFD5" w14:textId="536492BB" w:rsidR="000743CC" w:rsidRPr="000743CC" w:rsidRDefault="000743CC" w:rsidP="00450A98">
      <w:pPr>
        <w:ind w:left="284" w:right="282"/>
        <w:rPr>
          <w:i/>
          <w:iCs/>
          <w:sz w:val="20"/>
          <w:szCs w:val="20"/>
        </w:rPr>
      </w:pPr>
    </w:p>
    <w:p w14:paraId="2B0F4E04" w14:textId="1D8F9848" w:rsidR="000743CC" w:rsidRPr="00CF69F7" w:rsidRDefault="000743CC" w:rsidP="000743CC">
      <w:pPr>
        <w:ind w:left="708"/>
        <w:rPr>
          <w:i/>
          <w:iCs/>
          <w:sz w:val="20"/>
          <w:szCs w:val="20"/>
          <w:highlight w:val="cyan"/>
        </w:rPr>
      </w:pPr>
      <w:r w:rsidRPr="000743CC">
        <w:rPr>
          <w:i/>
          <w:iCs/>
          <w:sz w:val="20"/>
          <w:szCs w:val="20"/>
        </w:rPr>
        <w:lastRenderedPageBreak/>
        <w:t>Para el efecto, deberá suscribirse los ajustes a los contratos de compraventa de mejoras o escrituras públicas de adquisición de los inmuebles en alto riesgo, realizar los actos administrativos correspondientes y adelantar las gestiones presupuestales, cuando a ello hubiere lugar”.</w:t>
      </w:r>
    </w:p>
    <w:p w14:paraId="666AE0D9" w14:textId="77777777" w:rsidR="000743CC" w:rsidRPr="000743CC" w:rsidRDefault="000743CC" w:rsidP="000743CC">
      <w:pPr>
        <w:rPr>
          <w:rFonts w:cs="Arial"/>
          <w:color w:val="FF0000"/>
          <w:lang w:eastAsia="es-CO"/>
        </w:rPr>
      </w:pPr>
    </w:p>
    <w:p w14:paraId="2D40C5DE" w14:textId="6B8FCF58" w:rsidR="000743CC" w:rsidRPr="00450A98" w:rsidRDefault="000743CC" w:rsidP="000743CC">
      <w:r w:rsidRPr="00450A98">
        <w:t xml:space="preserve">Que la condición establecida en el Parágrafo antes citado limita la adquisición de los predios en alto riesgo no mitigable por parte de la Caja de la vivienda popular, toda vez que </w:t>
      </w:r>
      <w:r w:rsidR="00450A98">
        <w:t xml:space="preserve">se </w:t>
      </w:r>
      <w:r w:rsidRPr="00450A98">
        <w:t xml:space="preserve">exige la </w:t>
      </w:r>
      <w:r w:rsidRPr="00450A98">
        <w:rPr>
          <w:i/>
        </w:rPr>
        <w:t>“entrega material”</w:t>
      </w:r>
      <w:r w:rsidRPr="00450A98">
        <w:t xml:space="preserve"> del inmueble antes de la entrada en vigencia del Decreto 330 de 2020.</w:t>
      </w:r>
    </w:p>
    <w:p w14:paraId="2CB4A23A" w14:textId="77777777" w:rsidR="00604F0C" w:rsidRPr="000743CC" w:rsidRDefault="00604F0C" w:rsidP="000743CC">
      <w:pPr>
        <w:rPr>
          <w:color w:val="FF0000"/>
        </w:rPr>
      </w:pPr>
    </w:p>
    <w:p w14:paraId="774055B3" w14:textId="77777777" w:rsidR="008C0119" w:rsidRPr="00E23DF2" w:rsidRDefault="003B0CDF" w:rsidP="009E4898">
      <w:pPr>
        <w:rPr>
          <w:rFonts w:cs="Arial"/>
          <w:sz w:val="22"/>
          <w:szCs w:val="22"/>
          <w:lang w:eastAsia="es-CO"/>
        </w:rPr>
      </w:pPr>
      <w:r w:rsidRPr="00E23DF2">
        <w:rPr>
          <w:rFonts w:cs="Arial"/>
          <w:sz w:val="22"/>
          <w:szCs w:val="22"/>
          <w:lang w:eastAsia="es-CO"/>
        </w:rPr>
        <w:t>Que, en mérito de lo expuesto,</w:t>
      </w:r>
    </w:p>
    <w:p w14:paraId="694359DF" w14:textId="5D2DECAC" w:rsidR="008C0119" w:rsidRDefault="003B0CDF" w:rsidP="005544C6">
      <w:pPr>
        <w:rPr>
          <w:rFonts w:cs="Arial"/>
          <w:b/>
          <w:bCs/>
          <w:lang w:eastAsia="es-CO"/>
        </w:rPr>
      </w:pPr>
      <w:r w:rsidRPr="006947BE">
        <w:rPr>
          <w:rFonts w:cs="Arial"/>
          <w:b/>
          <w:bCs/>
          <w:lang w:eastAsia="es-CO"/>
        </w:rPr>
        <w:t> </w:t>
      </w:r>
    </w:p>
    <w:p w14:paraId="57DBA9BC" w14:textId="77777777" w:rsidR="008C0119" w:rsidRPr="009E4898" w:rsidRDefault="003B0CDF" w:rsidP="009E4898">
      <w:pPr>
        <w:jc w:val="center"/>
        <w:rPr>
          <w:rFonts w:cs="Arial"/>
          <w:b/>
          <w:bCs/>
          <w:sz w:val="22"/>
          <w:szCs w:val="22"/>
          <w:lang w:eastAsia="es-CO"/>
        </w:rPr>
      </w:pPr>
      <w:r w:rsidRPr="009E4898">
        <w:rPr>
          <w:rFonts w:cs="Arial"/>
          <w:b/>
          <w:bCs/>
          <w:sz w:val="22"/>
          <w:szCs w:val="22"/>
          <w:lang w:eastAsia="es-CO"/>
        </w:rPr>
        <w:t xml:space="preserve">RESUELVE </w:t>
      </w:r>
    </w:p>
    <w:p w14:paraId="210B7674" w14:textId="77777777" w:rsidR="008C0119" w:rsidRPr="009E4898" w:rsidRDefault="008C0119" w:rsidP="009E4898">
      <w:pPr>
        <w:jc w:val="center"/>
        <w:rPr>
          <w:rFonts w:cs="Arial"/>
          <w:b/>
          <w:bCs/>
          <w:sz w:val="22"/>
          <w:szCs w:val="22"/>
          <w:lang w:eastAsia="es-CO"/>
        </w:rPr>
      </w:pPr>
    </w:p>
    <w:p w14:paraId="35D421E5" w14:textId="5F3B58D3" w:rsidR="005544C6" w:rsidRDefault="003B0CDF" w:rsidP="009E4898">
      <w:pPr>
        <w:rPr>
          <w:rFonts w:cs="Arial"/>
          <w:sz w:val="22"/>
          <w:szCs w:val="22"/>
          <w:lang w:eastAsia="es-CO"/>
        </w:rPr>
      </w:pPr>
      <w:r w:rsidRPr="009E4898">
        <w:rPr>
          <w:rFonts w:cs="Arial"/>
          <w:b/>
          <w:bCs/>
          <w:sz w:val="22"/>
          <w:szCs w:val="22"/>
          <w:lang w:eastAsia="es-CO"/>
        </w:rPr>
        <w:t>Artículo</w:t>
      </w:r>
      <w:r w:rsidRPr="009E4898">
        <w:rPr>
          <w:rFonts w:cs="Arial"/>
          <w:sz w:val="22"/>
          <w:szCs w:val="22"/>
          <w:lang w:eastAsia="es-CO"/>
        </w:rPr>
        <w:t> </w:t>
      </w:r>
      <w:r w:rsidRPr="009E4898">
        <w:rPr>
          <w:rFonts w:cs="Arial"/>
          <w:b/>
          <w:bCs/>
          <w:sz w:val="22"/>
          <w:szCs w:val="22"/>
          <w:lang w:eastAsia="es-CO"/>
        </w:rPr>
        <w:t xml:space="preserve">1. </w:t>
      </w:r>
      <w:r w:rsidR="00B638E2">
        <w:rPr>
          <w:rFonts w:cs="Arial"/>
          <w:sz w:val="22"/>
          <w:szCs w:val="22"/>
          <w:lang w:val="es-CO" w:eastAsia="es-CO"/>
        </w:rPr>
        <w:t xml:space="preserve">Modifíquese el </w:t>
      </w:r>
      <w:r w:rsidR="005544C6">
        <w:rPr>
          <w:rFonts w:cs="Arial"/>
          <w:sz w:val="22"/>
          <w:szCs w:val="22"/>
          <w:lang w:eastAsia="es-CO"/>
        </w:rPr>
        <w:t xml:space="preserve">artículo 9 de la </w:t>
      </w:r>
      <w:r w:rsidR="005544C6" w:rsidRPr="00EE14A5">
        <w:rPr>
          <w:rFonts w:cs="Arial"/>
          <w:sz w:val="22"/>
          <w:szCs w:val="22"/>
          <w:lang w:eastAsia="es-CO"/>
        </w:rPr>
        <w:t>Resolución 1139 de 2022</w:t>
      </w:r>
      <w:r w:rsidR="005544C6">
        <w:rPr>
          <w:rFonts w:cs="Arial"/>
          <w:sz w:val="22"/>
          <w:szCs w:val="22"/>
          <w:lang w:eastAsia="es-CO"/>
        </w:rPr>
        <w:t xml:space="preserve">, el cual quedará así: </w:t>
      </w:r>
    </w:p>
    <w:p w14:paraId="06C7373E" w14:textId="77777777" w:rsidR="005544C6" w:rsidRDefault="005544C6" w:rsidP="009E4898">
      <w:pPr>
        <w:rPr>
          <w:rFonts w:cs="Arial"/>
          <w:sz w:val="22"/>
          <w:szCs w:val="22"/>
          <w:lang w:eastAsia="es-CO"/>
        </w:rPr>
      </w:pPr>
    </w:p>
    <w:p w14:paraId="5ABFCACB" w14:textId="31E399C9" w:rsidR="005544C6" w:rsidRPr="00E23DF2" w:rsidRDefault="00B638E2" w:rsidP="00EB7801">
      <w:pPr>
        <w:ind w:left="284" w:right="282"/>
        <w:rPr>
          <w:i/>
          <w:iCs/>
          <w:sz w:val="22"/>
          <w:szCs w:val="22"/>
        </w:rPr>
      </w:pPr>
      <w:r w:rsidRPr="00B638E2">
        <w:rPr>
          <w:b/>
          <w:bCs/>
          <w:i/>
          <w:iCs/>
        </w:rPr>
        <w:t>“</w:t>
      </w:r>
      <w:r w:rsidR="005544C6" w:rsidRPr="00E23DF2">
        <w:rPr>
          <w:b/>
          <w:bCs/>
          <w:i/>
          <w:iCs/>
          <w:sz w:val="22"/>
          <w:szCs w:val="22"/>
        </w:rPr>
        <w:t>Artículo 9. Aplicación y temporalidad de la ayuda de Relocalización Transitoria:</w:t>
      </w:r>
      <w:r w:rsidR="005544C6" w:rsidRPr="00E23DF2">
        <w:rPr>
          <w:i/>
          <w:iCs/>
          <w:sz w:val="22"/>
          <w:szCs w:val="22"/>
        </w:rPr>
        <w:t xml:space="preserve"> Se otorgará la ayuda de relocalización transitoria en los siguientes casos: </w:t>
      </w:r>
    </w:p>
    <w:p w14:paraId="7CED38DC" w14:textId="77777777" w:rsidR="006947BE" w:rsidRPr="00E23DF2" w:rsidRDefault="006947BE" w:rsidP="00EB7801">
      <w:pPr>
        <w:ind w:left="284" w:right="282"/>
        <w:rPr>
          <w:i/>
          <w:iCs/>
          <w:sz w:val="22"/>
          <w:szCs w:val="22"/>
        </w:rPr>
      </w:pPr>
    </w:p>
    <w:p w14:paraId="04504A58" w14:textId="77777777" w:rsidR="00020299" w:rsidRDefault="005544C6" w:rsidP="00020299">
      <w:pPr>
        <w:ind w:left="567" w:right="282" w:hanging="283"/>
        <w:rPr>
          <w:i/>
          <w:iCs/>
          <w:sz w:val="22"/>
          <w:szCs w:val="22"/>
        </w:rPr>
      </w:pPr>
      <w:r w:rsidRPr="00E23DF2">
        <w:rPr>
          <w:i/>
          <w:iCs/>
          <w:sz w:val="22"/>
          <w:szCs w:val="22"/>
        </w:rPr>
        <w:t xml:space="preserve">a. En los eventos de evacuación </w:t>
      </w:r>
      <w:r w:rsidR="00F613E3" w:rsidRPr="00E23DF2">
        <w:rPr>
          <w:i/>
          <w:iCs/>
          <w:sz w:val="22"/>
          <w:szCs w:val="22"/>
        </w:rPr>
        <w:t xml:space="preserve">o riesgo inminente </w:t>
      </w:r>
      <w:r w:rsidRPr="00E23DF2">
        <w:rPr>
          <w:i/>
          <w:iCs/>
          <w:sz w:val="22"/>
          <w:szCs w:val="22"/>
        </w:rPr>
        <w:t>reportados por EL IDIGER, hasta por tres (3) años</w:t>
      </w:r>
      <w:r w:rsidRPr="00E23DF2">
        <w:rPr>
          <w:b/>
          <w:bCs/>
          <w:i/>
          <w:iCs/>
          <w:sz w:val="22"/>
          <w:szCs w:val="22"/>
        </w:rPr>
        <w:t xml:space="preserve">, </w:t>
      </w:r>
      <w:r w:rsidR="00F613E3" w:rsidRPr="00E23DF2">
        <w:rPr>
          <w:i/>
          <w:iCs/>
          <w:sz w:val="22"/>
          <w:szCs w:val="22"/>
        </w:rPr>
        <w:t>contados a partir de la notificación a la Caja de la Vivienda Popular</w:t>
      </w:r>
      <w:r w:rsidR="00F613E3" w:rsidRPr="00E23DF2">
        <w:rPr>
          <w:b/>
          <w:bCs/>
          <w:i/>
          <w:iCs/>
          <w:sz w:val="22"/>
          <w:szCs w:val="22"/>
        </w:rPr>
        <w:t xml:space="preserve"> </w:t>
      </w:r>
      <w:r w:rsidR="00B24C4A" w:rsidRPr="00E23DF2">
        <w:rPr>
          <w:i/>
          <w:iCs/>
          <w:sz w:val="22"/>
          <w:szCs w:val="22"/>
        </w:rPr>
        <w:t>de la evacuación</w:t>
      </w:r>
      <w:r w:rsidR="00F613E3" w:rsidRPr="00E23DF2">
        <w:rPr>
          <w:i/>
          <w:iCs/>
          <w:sz w:val="22"/>
          <w:szCs w:val="22"/>
        </w:rPr>
        <w:t xml:space="preserve"> </w:t>
      </w:r>
      <w:r w:rsidR="00B24C4A" w:rsidRPr="00E23DF2">
        <w:rPr>
          <w:i/>
          <w:iCs/>
          <w:sz w:val="22"/>
          <w:szCs w:val="22"/>
        </w:rPr>
        <w:t xml:space="preserve">de los habitantes de los inmuebles en alto riesgo no mitigable </w:t>
      </w:r>
      <w:r w:rsidR="00F613E3" w:rsidRPr="00E23DF2">
        <w:rPr>
          <w:i/>
          <w:iCs/>
          <w:sz w:val="22"/>
          <w:szCs w:val="22"/>
        </w:rPr>
        <w:t xml:space="preserve">o del recibo por parte de la entidad del concepto o diagnóstico que recomendó la inclusión en el Programa de Reasentamiento. </w:t>
      </w:r>
    </w:p>
    <w:p w14:paraId="491921D0" w14:textId="77777777" w:rsidR="00020299" w:rsidRDefault="00020299" w:rsidP="00020299">
      <w:pPr>
        <w:ind w:left="567" w:right="282" w:hanging="283"/>
        <w:rPr>
          <w:i/>
          <w:iCs/>
          <w:sz w:val="22"/>
          <w:szCs w:val="22"/>
        </w:rPr>
      </w:pPr>
    </w:p>
    <w:p w14:paraId="2DC54D62" w14:textId="77777777" w:rsidR="00020299" w:rsidRDefault="00020299" w:rsidP="00020299">
      <w:pPr>
        <w:ind w:left="567" w:right="282" w:hanging="283"/>
        <w:rPr>
          <w:i/>
          <w:iCs/>
          <w:sz w:val="22"/>
          <w:szCs w:val="22"/>
        </w:rPr>
      </w:pPr>
      <w:r>
        <w:rPr>
          <w:i/>
          <w:iCs/>
          <w:sz w:val="22"/>
          <w:szCs w:val="22"/>
        </w:rPr>
        <w:t>b.</w:t>
      </w:r>
      <w:r>
        <w:rPr>
          <w:i/>
          <w:iCs/>
          <w:sz w:val="22"/>
          <w:szCs w:val="22"/>
        </w:rPr>
        <w:tab/>
        <w:t>Como consecuencia de un traslado transitorio, para facilitar la entrega del predio de alto riesgo a la CVP debidamente saneado, de conformidad con el plazo que se fije en la promesa de compraventa o el documento que haga sus veces, hasta por tres (3) meses previos a la fecha de entrega de la vivienda de reposición.</w:t>
      </w:r>
    </w:p>
    <w:p w14:paraId="2E712780" w14:textId="77777777" w:rsidR="00020299" w:rsidRDefault="00020299" w:rsidP="00020299">
      <w:pPr>
        <w:ind w:left="567" w:right="282" w:hanging="283"/>
        <w:rPr>
          <w:i/>
          <w:iCs/>
          <w:sz w:val="22"/>
          <w:szCs w:val="22"/>
        </w:rPr>
      </w:pPr>
    </w:p>
    <w:p w14:paraId="1E3DDE23" w14:textId="230E1A6F" w:rsidR="00020299" w:rsidRDefault="00020299" w:rsidP="00020299">
      <w:pPr>
        <w:ind w:left="284" w:right="282"/>
        <w:rPr>
          <w:i/>
          <w:iCs/>
          <w:sz w:val="22"/>
          <w:szCs w:val="22"/>
        </w:rPr>
      </w:pPr>
      <w:r>
        <w:rPr>
          <w:b/>
          <w:i/>
          <w:iCs/>
          <w:sz w:val="22"/>
          <w:szCs w:val="22"/>
        </w:rPr>
        <w:t xml:space="preserve">Parágrafo 1. </w:t>
      </w:r>
      <w:r>
        <w:rPr>
          <w:i/>
          <w:iCs/>
          <w:sz w:val="22"/>
          <w:szCs w:val="22"/>
        </w:rPr>
        <w:t>En los eventos de evacuación, para la inclusión de los hogares en el proceso de reasentamiento se deberá dar cumplimiento a los requisitos establecidos en el presente acto administrativo y demás normas establecidas para el efecto.</w:t>
      </w:r>
    </w:p>
    <w:p w14:paraId="6F18E1CC" w14:textId="77777777" w:rsidR="00450A98" w:rsidRDefault="00450A98" w:rsidP="00020299">
      <w:pPr>
        <w:ind w:left="284" w:right="282"/>
        <w:rPr>
          <w:i/>
          <w:iCs/>
          <w:sz w:val="22"/>
          <w:szCs w:val="22"/>
        </w:rPr>
      </w:pPr>
    </w:p>
    <w:p w14:paraId="0AF85823" w14:textId="77777777" w:rsidR="00020299" w:rsidRDefault="00020299" w:rsidP="00020299">
      <w:pPr>
        <w:ind w:left="284" w:right="282"/>
        <w:rPr>
          <w:i/>
          <w:iCs/>
          <w:sz w:val="22"/>
          <w:szCs w:val="22"/>
        </w:rPr>
      </w:pPr>
      <w:r>
        <w:rPr>
          <w:b/>
          <w:i/>
          <w:iCs/>
          <w:sz w:val="22"/>
          <w:szCs w:val="22"/>
        </w:rPr>
        <w:lastRenderedPageBreak/>
        <w:t xml:space="preserve">Parágrafo 2. </w:t>
      </w:r>
      <w:r>
        <w:rPr>
          <w:i/>
          <w:iCs/>
          <w:sz w:val="22"/>
          <w:szCs w:val="22"/>
        </w:rPr>
        <w:t>La ayuda de relocalización transitoria podrá suspenderse por la Entidad, en los casos en los que no se evidencie el cumplimiento de los requisitos y/o exista falta de corresponsabilidad de los hogares.</w:t>
      </w:r>
    </w:p>
    <w:p w14:paraId="2A9B1FD7" w14:textId="77777777" w:rsidR="00020299" w:rsidRDefault="00020299" w:rsidP="00020299">
      <w:pPr>
        <w:ind w:left="284" w:right="282"/>
        <w:rPr>
          <w:i/>
          <w:iCs/>
          <w:sz w:val="22"/>
          <w:szCs w:val="22"/>
        </w:rPr>
      </w:pPr>
    </w:p>
    <w:p w14:paraId="3690D345" w14:textId="7F8FEDDC" w:rsidR="0025785E" w:rsidRPr="00901916" w:rsidRDefault="00020299" w:rsidP="00206140">
      <w:pPr>
        <w:ind w:left="284"/>
        <w:rPr>
          <w:rFonts w:cs="Arial"/>
          <w:b/>
          <w:bCs/>
          <w:sz w:val="22"/>
          <w:szCs w:val="22"/>
          <w:lang w:eastAsia="es-CO"/>
        </w:rPr>
      </w:pPr>
      <w:r w:rsidRPr="00604F0C">
        <w:rPr>
          <w:b/>
          <w:i/>
          <w:iCs/>
          <w:sz w:val="22"/>
          <w:szCs w:val="22"/>
        </w:rPr>
        <w:t xml:space="preserve">Parágrafo 3. </w:t>
      </w:r>
      <w:r w:rsidR="00F613E3" w:rsidRPr="00604F0C">
        <w:rPr>
          <w:i/>
          <w:iCs/>
          <w:sz w:val="22"/>
          <w:szCs w:val="22"/>
        </w:rPr>
        <w:t xml:space="preserve"> </w:t>
      </w:r>
      <w:r w:rsidR="0025785E" w:rsidRPr="00206140">
        <w:rPr>
          <w:rFonts w:cs="Arial"/>
          <w:sz w:val="22"/>
          <w:szCs w:val="22"/>
          <w:lang w:eastAsia="es-CO"/>
        </w:rPr>
        <w:t>Al tenor de lo establecido en los artículos 4º y 10º del Decreto Distrital 330 de 2020</w:t>
      </w:r>
      <w:r w:rsidR="0025785E">
        <w:rPr>
          <w:rFonts w:cs="Arial"/>
          <w:b/>
          <w:bCs/>
          <w:sz w:val="22"/>
          <w:szCs w:val="22"/>
          <w:lang w:eastAsia="es-CO"/>
        </w:rPr>
        <w:t xml:space="preserve">, </w:t>
      </w:r>
      <w:r w:rsidR="0025785E">
        <w:rPr>
          <w:rFonts w:cs="Arial"/>
          <w:bCs/>
          <w:sz w:val="22"/>
          <w:szCs w:val="22"/>
          <w:lang w:eastAsia="es-CO"/>
        </w:rPr>
        <w:t>l</w:t>
      </w:r>
      <w:r w:rsidR="0025785E" w:rsidRPr="00160C9C">
        <w:rPr>
          <w:rFonts w:cs="Arial"/>
          <w:bCs/>
          <w:sz w:val="22"/>
          <w:szCs w:val="22"/>
          <w:lang w:eastAsia="es-CO"/>
        </w:rPr>
        <w:t xml:space="preserve">a Caja de Vivienda Popular podrá prorrogar </w:t>
      </w:r>
      <w:r w:rsidR="0025785E">
        <w:rPr>
          <w:rFonts w:cs="Arial"/>
          <w:bCs/>
          <w:sz w:val="22"/>
          <w:szCs w:val="22"/>
          <w:lang w:eastAsia="es-CO"/>
        </w:rPr>
        <w:t>y/o reactivar la Ayuda de R</w:t>
      </w:r>
      <w:r w:rsidR="0025785E" w:rsidRPr="00160C9C">
        <w:rPr>
          <w:rFonts w:cs="Arial"/>
          <w:bCs/>
          <w:sz w:val="22"/>
          <w:szCs w:val="22"/>
          <w:lang w:eastAsia="es-CO"/>
        </w:rPr>
        <w:t xml:space="preserve">elocalización </w:t>
      </w:r>
      <w:r w:rsidR="0025785E">
        <w:rPr>
          <w:rFonts w:cs="Arial"/>
          <w:bCs/>
          <w:sz w:val="22"/>
          <w:szCs w:val="22"/>
          <w:lang w:eastAsia="es-CO"/>
        </w:rPr>
        <w:t>T</w:t>
      </w:r>
      <w:r w:rsidR="0025785E" w:rsidRPr="00160C9C">
        <w:rPr>
          <w:rFonts w:cs="Arial"/>
          <w:bCs/>
          <w:sz w:val="22"/>
          <w:szCs w:val="22"/>
          <w:lang w:eastAsia="es-CO"/>
        </w:rPr>
        <w:t>ransitoria a las familias vinculadas a un proyecto habitacional, hasta la entrega efectiva del inmueble</w:t>
      </w:r>
      <w:r w:rsidR="0025785E">
        <w:rPr>
          <w:rFonts w:cs="Arial"/>
          <w:bCs/>
          <w:sz w:val="22"/>
          <w:szCs w:val="22"/>
          <w:lang w:eastAsia="es-CO"/>
        </w:rPr>
        <w:t xml:space="preserve"> de reposición</w:t>
      </w:r>
      <w:r w:rsidR="0025785E" w:rsidRPr="00160C9C">
        <w:rPr>
          <w:rFonts w:cs="Arial"/>
          <w:bCs/>
          <w:sz w:val="22"/>
          <w:szCs w:val="22"/>
          <w:lang w:eastAsia="es-CO"/>
        </w:rPr>
        <w:t>, conform</w:t>
      </w:r>
      <w:r w:rsidR="002A78E7">
        <w:rPr>
          <w:rFonts w:cs="Arial"/>
          <w:bCs/>
          <w:sz w:val="22"/>
          <w:szCs w:val="22"/>
          <w:lang w:eastAsia="es-CO"/>
        </w:rPr>
        <w:t>e</w:t>
      </w:r>
      <w:r w:rsidR="0025785E" w:rsidRPr="00160C9C">
        <w:rPr>
          <w:rFonts w:cs="Arial"/>
          <w:bCs/>
          <w:sz w:val="22"/>
          <w:szCs w:val="22"/>
          <w:lang w:eastAsia="es-CO"/>
        </w:rPr>
        <w:t xml:space="preserve"> </w:t>
      </w:r>
      <w:r w:rsidR="002A78E7">
        <w:rPr>
          <w:rFonts w:cs="Arial"/>
          <w:bCs/>
          <w:sz w:val="22"/>
          <w:szCs w:val="22"/>
          <w:lang w:eastAsia="es-CO"/>
        </w:rPr>
        <w:t>al</w:t>
      </w:r>
      <w:r w:rsidR="0025785E">
        <w:rPr>
          <w:rFonts w:cs="Arial"/>
          <w:bCs/>
          <w:sz w:val="22"/>
          <w:szCs w:val="22"/>
          <w:lang w:eastAsia="es-CO"/>
        </w:rPr>
        <w:t xml:space="preserve"> cumplimiento de los requisitos, </w:t>
      </w:r>
      <w:r w:rsidR="0025785E" w:rsidRPr="00160C9C">
        <w:rPr>
          <w:rFonts w:cs="Arial"/>
          <w:bCs/>
          <w:sz w:val="22"/>
          <w:szCs w:val="22"/>
          <w:lang w:eastAsia="es-CO"/>
        </w:rPr>
        <w:t>la disponibilidad presupuestal y la corresponsabilidad de la familia.</w:t>
      </w:r>
    </w:p>
    <w:p w14:paraId="7E70F9FC" w14:textId="77777777" w:rsidR="00450A98" w:rsidRDefault="00450A98" w:rsidP="00020299">
      <w:pPr>
        <w:ind w:left="284" w:right="282"/>
        <w:rPr>
          <w:i/>
          <w:iCs/>
          <w:color w:val="FF0000"/>
          <w:sz w:val="22"/>
          <w:szCs w:val="22"/>
        </w:rPr>
      </w:pPr>
    </w:p>
    <w:p w14:paraId="3A51CDC7" w14:textId="381D9126" w:rsidR="00020299" w:rsidRPr="00BA157C" w:rsidRDefault="00020299" w:rsidP="00020299">
      <w:pPr>
        <w:ind w:left="284" w:right="282"/>
        <w:rPr>
          <w:i/>
          <w:iCs/>
          <w:sz w:val="22"/>
          <w:szCs w:val="22"/>
        </w:rPr>
      </w:pPr>
      <w:r>
        <w:rPr>
          <w:b/>
          <w:i/>
          <w:iCs/>
          <w:sz w:val="22"/>
          <w:szCs w:val="22"/>
        </w:rPr>
        <w:t>Par</w:t>
      </w:r>
      <w:r w:rsidR="00BA157C">
        <w:rPr>
          <w:b/>
          <w:i/>
          <w:iCs/>
          <w:sz w:val="22"/>
          <w:szCs w:val="22"/>
        </w:rPr>
        <w:t xml:space="preserve">ágrafo 4. </w:t>
      </w:r>
      <w:r w:rsidR="00BA157C">
        <w:rPr>
          <w:i/>
          <w:iCs/>
          <w:sz w:val="22"/>
          <w:szCs w:val="22"/>
        </w:rPr>
        <w:t>Los hogares de la población indígena que actualmente cuentan con la ayuda de relocalización transitoria, continuarán siendo atendidos bajo el enfoque étnico diferencial, en consideración a las condiciones de vulnerabilidad y de especial protección constitucional, hasta que las entidades competentes brinden una alternativa a su problemática.”</w:t>
      </w:r>
    </w:p>
    <w:p w14:paraId="4D3B245C" w14:textId="77777777" w:rsidR="00F613E3" w:rsidRDefault="00F613E3" w:rsidP="005544C6">
      <w:pPr>
        <w:ind w:left="708"/>
        <w:rPr>
          <w:b/>
          <w:bCs/>
        </w:rPr>
      </w:pPr>
    </w:p>
    <w:p w14:paraId="59ACC433" w14:textId="79965A7C" w:rsidR="00BA157C" w:rsidRPr="00BA157C" w:rsidRDefault="00B24C4A" w:rsidP="00BA157C">
      <w:pPr>
        <w:rPr>
          <w:rFonts w:cs="Arial"/>
          <w:bCs/>
          <w:sz w:val="22"/>
          <w:szCs w:val="22"/>
          <w:lang w:eastAsia="es-CO"/>
        </w:rPr>
      </w:pPr>
      <w:r w:rsidRPr="009E4898">
        <w:rPr>
          <w:rFonts w:cs="Arial"/>
          <w:b/>
          <w:bCs/>
          <w:sz w:val="22"/>
          <w:szCs w:val="22"/>
          <w:lang w:eastAsia="es-CO"/>
        </w:rPr>
        <w:t xml:space="preserve">Artículo </w:t>
      </w:r>
      <w:r w:rsidR="00506CA6">
        <w:rPr>
          <w:rFonts w:cs="Arial"/>
          <w:b/>
          <w:bCs/>
          <w:sz w:val="22"/>
          <w:szCs w:val="22"/>
          <w:lang w:eastAsia="es-CO"/>
        </w:rPr>
        <w:t>2</w:t>
      </w:r>
      <w:r w:rsidR="00160C9C">
        <w:rPr>
          <w:rFonts w:cs="Arial"/>
          <w:b/>
          <w:bCs/>
          <w:sz w:val="22"/>
          <w:szCs w:val="22"/>
          <w:lang w:eastAsia="es-CO"/>
        </w:rPr>
        <w:t xml:space="preserve">. </w:t>
      </w:r>
      <w:r w:rsidR="00EC7384" w:rsidRPr="00BA157C">
        <w:rPr>
          <w:rFonts w:cs="Arial"/>
          <w:bCs/>
          <w:sz w:val="22"/>
          <w:szCs w:val="22"/>
          <w:lang w:eastAsia="es-CO"/>
        </w:rPr>
        <w:t>Modifí</w:t>
      </w:r>
      <w:r w:rsidR="00EC7384">
        <w:rPr>
          <w:rFonts w:cs="Arial"/>
          <w:bCs/>
          <w:sz w:val="22"/>
          <w:szCs w:val="22"/>
          <w:lang w:eastAsia="es-CO"/>
        </w:rPr>
        <w:t>quese</w:t>
      </w:r>
      <w:r w:rsidR="0025785E" w:rsidRPr="00BA157C">
        <w:rPr>
          <w:rFonts w:cs="Arial"/>
          <w:bCs/>
          <w:sz w:val="22"/>
          <w:szCs w:val="22"/>
          <w:lang w:eastAsia="es-CO"/>
        </w:rPr>
        <w:t xml:space="preserve"> </w:t>
      </w:r>
      <w:r w:rsidR="00BA157C" w:rsidRPr="00BA157C">
        <w:rPr>
          <w:rFonts w:cs="Arial"/>
          <w:bCs/>
          <w:sz w:val="22"/>
          <w:szCs w:val="22"/>
          <w:lang w:eastAsia="es-CO"/>
        </w:rPr>
        <w:t>el artículo 18 de la Resolución 1139 de 2022, el cual quedará para todos los efectos así:</w:t>
      </w:r>
    </w:p>
    <w:p w14:paraId="53EFB1C4" w14:textId="77777777" w:rsidR="00BA157C" w:rsidRPr="00BA157C" w:rsidRDefault="00BA157C" w:rsidP="00BA157C">
      <w:pPr>
        <w:rPr>
          <w:rFonts w:cs="Arial"/>
          <w:bCs/>
          <w:sz w:val="22"/>
          <w:szCs w:val="22"/>
          <w:lang w:eastAsia="es-CO"/>
        </w:rPr>
      </w:pPr>
    </w:p>
    <w:p w14:paraId="54EEF3F3" w14:textId="781A2A51" w:rsidR="00A24F57" w:rsidRDefault="00BA157C" w:rsidP="00A24F57">
      <w:pPr>
        <w:ind w:left="284" w:right="282"/>
        <w:rPr>
          <w:rFonts w:cs="Arial"/>
          <w:bCs/>
          <w:i/>
          <w:sz w:val="22"/>
          <w:szCs w:val="22"/>
          <w:lang w:eastAsia="es-CO"/>
        </w:rPr>
      </w:pPr>
      <w:r w:rsidRPr="00A24F57">
        <w:rPr>
          <w:rFonts w:cs="Arial"/>
          <w:b/>
          <w:bCs/>
          <w:i/>
          <w:sz w:val="22"/>
          <w:szCs w:val="22"/>
          <w:lang w:eastAsia="es-CO"/>
        </w:rPr>
        <w:t>“</w:t>
      </w:r>
      <w:r w:rsidR="00A24F57">
        <w:rPr>
          <w:rFonts w:cs="Arial"/>
          <w:b/>
          <w:bCs/>
          <w:i/>
          <w:sz w:val="22"/>
          <w:szCs w:val="22"/>
          <w:lang w:eastAsia="es-CO"/>
        </w:rPr>
        <w:t xml:space="preserve">Artículo 18. Término para la adquisición de la vivienda de reposición. </w:t>
      </w:r>
      <w:r w:rsidR="00A24F57">
        <w:rPr>
          <w:rFonts w:cs="Arial"/>
          <w:bCs/>
          <w:i/>
          <w:sz w:val="22"/>
          <w:szCs w:val="22"/>
          <w:lang w:eastAsia="es-CO"/>
        </w:rPr>
        <w:t>Los hogares contarán con el término de un (1) año a partir de la comunicación de la factibilidad para adquirir vivienda de reposición definitiva nueva o usada, dicho término podrá prorrogarse hasta por seis (6) meses adicionales en situaciones de fuerza mayor o caso fortuito debidamente probadas.</w:t>
      </w:r>
    </w:p>
    <w:p w14:paraId="1ED66974" w14:textId="0576FDFB" w:rsidR="00A24F57" w:rsidRDefault="00A24F57" w:rsidP="00A24F57">
      <w:pPr>
        <w:ind w:left="284" w:right="282"/>
        <w:rPr>
          <w:rFonts w:cs="Arial"/>
          <w:bCs/>
          <w:i/>
          <w:sz w:val="22"/>
          <w:szCs w:val="22"/>
          <w:lang w:eastAsia="es-CO"/>
        </w:rPr>
      </w:pPr>
    </w:p>
    <w:p w14:paraId="40FA359D" w14:textId="4086DFB2" w:rsidR="00A24F57" w:rsidRDefault="00A24F57" w:rsidP="00A24F57">
      <w:pPr>
        <w:ind w:left="284" w:right="282"/>
        <w:rPr>
          <w:rFonts w:cs="Arial"/>
          <w:bCs/>
          <w:i/>
          <w:sz w:val="22"/>
          <w:szCs w:val="22"/>
          <w:lang w:eastAsia="es-CO"/>
        </w:rPr>
      </w:pPr>
      <w:r>
        <w:rPr>
          <w:rFonts w:cs="Arial"/>
          <w:bCs/>
          <w:i/>
          <w:sz w:val="22"/>
          <w:szCs w:val="22"/>
          <w:lang w:eastAsia="es-CO"/>
        </w:rPr>
        <w:t xml:space="preserve">Dentro del término antes señalado, cuando proceda, se deberá realizar la inscripción del acto de transferencia del derecho de dominio en el respectivo folio de matrícula inmobiliaria </w:t>
      </w:r>
      <w:r w:rsidR="000C449C">
        <w:rPr>
          <w:rFonts w:cs="Arial"/>
          <w:bCs/>
          <w:i/>
          <w:sz w:val="22"/>
          <w:szCs w:val="22"/>
          <w:lang w:eastAsia="es-CO"/>
        </w:rPr>
        <w:t>de la alternativa de reposición.</w:t>
      </w:r>
    </w:p>
    <w:p w14:paraId="11407AE5" w14:textId="77777777" w:rsidR="000C449C" w:rsidRPr="00A24F57" w:rsidRDefault="000C449C" w:rsidP="00A24F57">
      <w:pPr>
        <w:ind w:left="284" w:right="282"/>
        <w:rPr>
          <w:rFonts w:cs="Arial"/>
          <w:bCs/>
          <w:i/>
          <w:sz w:val="22"/>
          <w:szCs w:val="22"/>
          <w:lang w:eastAsia="es-CO"/>
        </w:rPr>
      </w:pPr>
    </w:p>
    <w:p w14:paraId="2D8392DB" w14:textId="2BE6EBC0" w:rsidR="00BA157C" w:rsidRPr="00A24F57" w:rsidRDefault="00BA157C" w:rsidP="00A24F57">
      <w:pPr>
        <w:ind w:left="284" w:right="282"/>
        <w:rPr>
          <w:rFonts w:cs="Arial"/>
          <w:bCs/>
          <w:i/>
          <w:sz w:val="22"/>
          <w:szCs w:val="22"/>
          <w:lang w:eastAsia="es-CO"/>
        </w:rPr>
      </w:pPr>
      <w:r w:rsidRPr="00A24F57">
        <w:rPr>
          <w:rFonts w:cs="Arial"/>
          <w:b/>
          <w:bCs/>
          <w:i/>
          <w:sz w:val="22"/>
          <w:szCs w:val="22"/>
          <w:lang w:eastAsia="es-CO"/>
        </w:rPr>
        <w:t xml:space="preserve">Parágrafo </w:t>
      </w:r>
      <w:r w:rsidR="00A24F57" w:rsidRPr="00A24F57">
        <w:rPr>
          <w:rFonts w:cs="Arial"/>
          <w:b/>
          <w:bCs/>
          <w:i/>
          <w:sz w:val="22"/>
          <w:szCs w:val="22"/>
          <w:lang w:eastAsia="es-CO"/>
        </w:rPr>
        <w:t>Primero</w:t>
      </w:r>
      <w:r w:rsidRPr="00A24F57">
        <w:rPr>
          <w:rFonts w:cs="Arial"/>
          <w:bCs/>
          <w:i/>
          <w:sz w:val="22"/>
          <w:szCs w:val="22"/>
          <w:lang w:eastAsia="es-CO"/>
        </w:rPr>
        <w:t xml:space="preserve">. Al titular de derecho de dominio o posesión de los Predios en Alto Riesgo No Mitigable que tenga asignado el Valor Único de Reconocimiento -VUR- antes de la entrada en vigencia del Decreto 330 de 2020 </w:t>
      </w:r>
      <w:r w:rsidR="00A24F57" w:rsidRPr="00A24F57">
        <w:rPr>
          <w:rFonts w:cs="Arial"/>
          <w:bCs/>
          <w:i/>
          <w:sz w:val="22"/>
          <w:szCs w:val="22"/>
          <w:lang w:eastAsia="es-CO"/>
        </w:rPr>
        <w:t xml:space="preserve">y </w:t>
      </w:r>
      <w:r w:rsidRPr="00A24F57">
        <w:rPr>
          <w:rFonts w:cs="Arial"/>
          <w:bCs/>
          <w:i/>
          <w:sz w:val="22"/>
          <w:szCs w:val="22"/>
          <w:lang w:eastAsia="es-CO"/>
        </w:rPr>
        <w:t xml:space="preserve">que no haya </w:t>
      </w:r>
      <w:r w:rsidR="00A24F57" w:rsidRPr="00A24F57">
        <w:rPr>
          <w:rFonts w:cs="Arial"/>
          <w:bCs/>
          <w:i/>
          <w:sz w:val="22"/>
          <w:szCs w:val="22"/>
          <w:lang w:eastAsia="es-CO"/>
        </w:rPr>
        <w:t>podido acceder a</w:t>
      </w:r>
      <w:r w:rsidRPr="00A24F57">
        <w:rPr>
          <w:rFonts w:cs="Arial"/>
          <w:bCs/>
          <w:i/>
          <w:sz w:val="22"/>
          <w:szCs w:val="22"/>
          <w:lang w:eastAsia="es-CO"/>
        </w:rPr>
        <w:t xml:space="preserve"> una vivienda de reposición, </w:t>
      </w:r>
      <w:r w:rsidR="00A24F57" w:rsidRPr="00A24F57">
        <w:rPr>
          <w:rFonts w:cs="Arial"/>
          <w:bCs/>
          <w:i/>
          <w:sz w:val="22"/>
          <w:szCs w:val="22"/>
          <w:lang w:eastAsia="es-CO"/>
        </w:rPr>
        <w:t xml:space="preserve">se le </w:t>
      </w:r>
      <w:r w:rsidRPr="00A24F57">
        <w:rPr>
          <w:rFonts w:cs="Arial"/>
          <w:bCs/>
          <w:i/>
          <w:sz w:val="22"/>
          <w:szCs w:val="22"/>
          <w:lang w:eastAsia="es-CO"/>
        </w:rPr>
        <w:t>podrá adquirir el inmueble en alto riesgo mediante la modalidad de reasentamiento por enajenación voluntaria directa, expropiación administrativa o judicial, en los términos señalados en las Leyes 9 de 1989, 388 de 1997, 1753 de 2015, Decreto Distrital 511 de 2010 y demás normas concordantes.</w:t>
      </w:r>
    </w:p>
    <w:p w14:paraId="2BA5AF8E" w14:textId="77777777" w:rsidR="00BA157C" w:rsidRPr="00A24F57" w:rsidRDefault="00BA157C" w:rsidP="00A24F57">
      <w:pPr>
        <w:ind w:left="284" w:right="282"/>
        <w:rPr>
          <w:rFonts w:cs="Arial"/>
          <w:bCs/>
          <w:i/>
          <w:sz w:val="22"/>
          <w:szCs w:val="22"/>
          <w:lang w:eastAsia="es-CO"/>
        </w:rPr>
      </w:pPr>
      <w:r w:rsidRPr="00A24F57">
        <w:rPr>
          <w:rFonts w:cs="Arial"/>
          <w:bCs/>
          <w:i/>
          <w:sz w:val="22"/>
          <w:szCs w:val="22"/>
          <w:lang w:eastAsia="es-CO"/>
        </w:rPr>
        <w:t xml:space="preserve"> </w:t>
      </w:r>
    </w:p>
    <w:p w14:paraId="63524146" w14:textId="77777777" w:rsidR="000C449C" w:rsidRDefault="00BA157C" w:rsidP="00A24F57">
      <w:pPr>
        <w:ind w:left="284" w:right="282"/>
        <w:rPr>
          <w:rFonts w:cs="Arial"/>
          <w:bCs/>
          <w:i/>
          <w:sz w:val="22"/>
          <w:szCs w:val="22"/>
          <w:lang w:eastAsia="es-CO"/>
        </w:rPr>
      </w:pPr>
      <w:r w:rsidRPr="00A24F57">
        <w:rPr>
          <w:rFonts w:cs="Arial"/>
          <w:bCs/>
          <w:i/>
          <w:sz w:val="22"/>
          <w:szCs w:val="22"/>
          <w:lang w:eastAsia="es-CO"/>
        </w:rPr>
        <w:t xml:space="preserve">En el evento en que la familia haya suscrito contratos de compraventa de mejoras o escrituras públicas de adquisición de los inmuebles en alto riesgo, se deberá </w:t>
      </w:r>
      <w:r w:rsidRPr="00A24F57">
        <w:rPr>
          <w:rFonts w:cs="Arial"/>
          <w:bCs/>
          <w:i/>
          <w:sz w:val="22"/>
          <w:szCs w:val="22"/>
          <w:lang w:eastAsia="es-CO"/>
        </w:rPr>
        <w:lastRenderedPageBreak/>
        <w:t>realizar los ajustes correspondientes y adelantar las gestiones presupuestales, cuando a ello hubiere lugar.</w:t>
      </w:r>
    </w:p>
    <w:p w14:paraId="7661B957" w14:textId="77777777" w:rsidR="000C449C" w:rsidRDefault="000C449C" w:rsidP="00A24F57">
      <w:pPr>
        <w:ind w:left="284" w:right="282"/>
        <w:rPr>
          <w:rFonts w:cs="Arial"/>
          <w:bCs/>
          <w:i/>
          <w:sz w:val="22"/>
          <w:szCs w:val="22"/>
          <w:lang w:eastAsia="es-CO"/>
        </w:rPr>
      </w:pPr>
    </w:p>
    <w:p w14:paraId="32B9FE59" w14:textId="38A87770" w:rsidR="00BA157C" w:rsidRPr="00BA157C" w:rsidRDefault="000C449C" w:rsidP="00A24F57">
      <w:pPr>
        <w:ind w:left="284" w:right="282"/>
        <w:rPr>
          <w:rFonts w:cs="Arial"/>
          <w:bCs/>
          <w:sz w:val="22"/>
          <w:szCs w:val="22"/>
          <w:lang w:eastAsia="es-CO"/>
        </w:rPr>
      </w:pPr>
      <w:r w:rsidRPr="000C449C">
        <w:rPr>
          <w:rFonts w:cs="Arial"/>
          <w:b/>
          <w:bCs/>
          <w:i/>
          <w:sz w:val="22"/>
          <w:szCs w:val="22"/>
          <w:lang w:eastAsia="es-CO"/>
        </w:rPr>
        <w:t xml:space="preserve">Parágrafo Segundo. </w:t>
      </w:r>
      <w:r w:rsidRPr="000C449C">
        <w:rPr>
          <w:rFonts w:cs="Arial"/>
          <w:bCs/>
          <w:i/>
          <w:sz w:val="22"/>
          <w:szCs w:val="22"/>
          <w:lang w:eastAsia="es-CO"/>
        </w:rPr>
        <w:t xml:space="preserve">En los eventos descritos en el Parágrafo </w:t>
      </w:r>
      <w:r>
        <w:rPr>
          <w:rFonts w:cs="Arial"/>
          <w:bCs/>
          <w:i/>
          <w:sz w:val="22"/>
          <w:szCs w:val="22"/>
          <w:lang w:eastAsia="es-CO"/>
        </w:rPr>
        <w:t>Primero</w:t>
      </w:r>
      <w:r w:rsidRPr="000C449C">
        <w:rPr>
          <w:rFonts w:cs="Arial"/>
          <w:bCs/>
          <w:i/>
          <w:sz w:val="22"/>
          <w:szCs w:val="22"/>
          <w:lang w:eastAsia="es-CO"/>
        </w:rPr>
        <w:t xml:space="preserve"> del presente artículo se continuará el proceso a partir de la Etapa de ejecución establecida en el numeral 4 del artículo 6 de la Resolución 1139 de 2022</w:t>
      </w:r>
      <w:r>
        <w:rPr>
          <w:rFonts w:cs="Arial"/>
          <w:bCs/>
          <w:i/>
          <w:sz w:val="22"/>
          <w:szCs w:val="22"/>
          <w:lang w:eastAsia="es-CO"/>
        </w:rPr>
        <w:t>”</w:t>
      </w:r>
      <w:r w:rsidRPr="000C449C">
        <w:rPr>
          <w:rFonts w:cs="Arial"/>
          <w:bCs/>
          <w:sz w:val="22"/>
          <w:szCs w:val="22"/>
          <w:lang w:eastAsia="es-CO"/>
        </w:rPr>
        <w:t>.</w:t>
      </w:r>
    </w:p>
    <w:p w14:paraId="23B312AF" w14:textId="77777777" w:rsidR="00160C9C" w:rsidRPr="00160C9C" w:rsidRDefault="00160C9C" w:rsidP="009E4898">
      <w:pPr>
        <w:rPr>
          <w:rFonts w:cs="Arial"/>
          <w:bCs/>
          <w:sz w:val="22"/>
          <w:szCs w:val="22"/>
          <w:lang w:eastAsia="es-CO"/>
        </w:rPr>
      </w:pPr>
    </w:p>
    <w:p w14:paraId="329DF323" w14:textId="663177D2" w:rsidR="000C449C" w:rsidRPr="000C449C" w:rsidRDefault="00160C9C" w:rsidP="009E4898">
      <w:pPr>
        <w:rPr>
          <w:rFonts w:cs="Arial"/>
          <w:bCs/>
          <w:sz w:val="22"/>
          <w:szCs w:val="22"/>
          <w:lang w:eastAsia="es-CO"/>
        </w:rPr>
      </w:pPr>
      <w:r>
        <w:rPr>
          <w:rFonts w:cs="Arial"/>
          <w:b/>
          <w:bCs/>
          <w:sz w:val="22"/>
          <w:szCs w:val="22"/>
          <w:lang w:eastAsia="es-CO"/>
        </w:rPr>
        <w:t xml:space="preserve">Artículo </w:t>
      </w:r>
      <w:r w:rsidR="00EC7384">
        <w:rPr>
          <w:rFonts w:cs="Arial"/>
          <w:b/>
          <w:bCs/>
          <w:sz w:val="22"/>
          <w:szCs w:val="22"/>
          <w:lang w:eastAsia="es-CO"/>
        </w:rPr>
        <w:t>3</w:t>
      </w:r>
      <w:r>
        <w:rPr>
          <w:rFonts w:cs="Arial"/>
          <w:b/>
          <w:bCs/>
          <w:sz w:val="22"/>
          <w:szCs w:val="22"/>
          <w:lang w:eastAsia="es-CO"/>
        </w:rPr>
        <w:t xml:space="preserve">. </w:t>
      </w:r>
      <w:r w:rsidR="000C449C">
        <w:rPr>
          <w:rFonts w:cs="Arial"/>
          <w:bCs/>
          <w:sz w:val="22"/>
          <w:szCs w:val="22"/>
          <w:lang w:eastAsia="es-CO"/>
        </w:rPr>
        <w:t>Los aspectos no modificados por el presente Acto Administrativo</w:t>
      </w:r>
      <w:r w:rsidR="00D07B3F">
        <w:rPr>
          <w:rFonts w:cs="Arial"/>
          <w:bCs/>
          <w:sz w:val="22"/>
          <w:szCs w:val="22"/>
          <w:lang w:eastAsia="es-CO"/>
        </w:rPr>
        <w:t xml:space="preserve"> referidos </w:t>
      </w:r>
      <w:r w:rsidR="000C449C">
        <w:rPr>
          <w:rFonts w:cs="Arial"/>
          <w:bCs/>
          <w:sz w:val="22"/>
          <w:szCs w:val="22"/>
          <w:lang w:eastAsia="es-CO"/>
        </w:rPr>
        <w:t xml:space="preserve">a la </w:t>
      </w:r>
      <w:r w:rsidR="000C449C" w:rsidRPr="000C449C">
        <w:rPr>
          <w:rFonts w:cs="Arial"/>
          <w:bCs/>
          <w:sz w:val="22"/>
          <w:szCs w:val="22"/>
          <w:lang w:eastAsia="es-CO"/>
        </w:rPr>
        <w:t>Resolución 1139 de 2022</w:t>
      </w:r>
      <w:r w:rsidR="000C449C">
        <w:rPr>
          <w:rFonts w:cs="Arial"/>
          <w:bCs/>
          <w:sz w:val="22"/>
          <w:szCs w:val="22"/>
          <w:lang w:eastAsia="es-CO"/>
        </w:rPr>
        <w:t xml:space="preserve"> </w:t>
      </w:r>
      <w:r w:rsidR="00683454" w:rsidRPr="000C449C">
        <w:rPr>
          <w:rFonts w:cs="Arial"/>
          <w:bCs/>
          <w:sz w:val="22"/>
          <w:szCs w:val="22"/>
          <w:lang w:eastAsia="es-CO"/>
        </w:rPr>
        <w:t>contin</w:t>
      </w:r>
      <w:r w:rsidR="00683454">
        <w:rPr>
          <w:rFonts w:cs="Arial"/>
          <w:bCs/>
          <w:sz w:val="22"/>
          <w:szCs w:val="22"/>
          <w:lang w:eastAsia="es-CO"/>
        </w:rPr>
        <w:t xml:space="preserve">úan </w:t>
      </w:r>
      <w:r w:rsidR="000C449C" w:rsidRPr="000C449C">
        <w:rPr>
          <w:rFonts w:cs="Arial"/>
          <w:bCs/>
          <w:sz w:val="22"/>
          <w:szCs w:val="22"/>
          <w:lang w:eastAsia="es-CO"/>
        </w:rPr>
        <w:t xml:space="preserve">vigentes </w:t>
      </w:r>
      <w:r w:rsidR="000C449C">
        <w:rPr>
          <w:rFonts w:cs="Arial"/>
          <w:bCs/>
          <w:sz w:val="22"/>
          <w:szCs w:val="22"/>
          <w:lang w:eastAsia="es-CO"/>
        </w:rPr>
        <w:t xml:space="preserve">y </w:t>
      </w:r>
      <w:r w:rsidR="00683454">
        <w:rPr>
          <w:rFonts w:cs="Arial"/>
          <w:bCs/>
          <w:sz w:val="22"/>
          <w:szCs w:val="22"/>
          <w:lang w:eastAsia="es-CO"/>
        </w:rPr>
        <w:t xml:space="preserve">surten </w:t>
      </w:r>
      <w:r w:rsidR="000C449C">
        <w:rPr>
          <w:rFonts w:cs="Arial"/>
          <w:bCs/>
          <w:sz w:val="22"/>
          <w:szCs w:val="22"/>
          <w:lang w:eastAsia="es-CO"/>
        </w:rPr>
        <w:t>plenos efectos.</w:t>
      </w:r>
    </w:p>
    <w:p w14:paraId="0C62C41E" w14:textId="77777777" w:rsidR="000C449C" w:rsidRDefault="000C449C" w:rsidP="009E4898">
      <w:pPr>
        <w:rPr>
          <w:rFonts w:cs="Arial"/>
          <w:b/>
          <w:bCs/>
          <w:sz w:val="22"/>
          <w:szCs w:val="22"/>
          <w:lang w:eastAsia="es-CO"/>
        </w:rPr>
      </w:pPr>
    </w:p>
    <w:p w14:paraId="43B76006" w14:textId="205B851F" w:rsidR="008C0119" w:rsidRPr="009E4898" w:rsidRDefault="000C449C" w:rsidP="009E4898">
      <w:pPr>
        <w:rPr>
          <w:rFonts w:cs="Arial"/>
          <w:sz w:val="22"/>
          <w:szCs w:val="22"/>
          <w:lang w:eastAsia="es-CO"/>
        </w:rPr>
      </w:pPr>
      <w:r>
        <w:rPr>
          <w:rFonts w:cs="Arial"/>
          <w:b/>
          <w:sz w:val="22"/>
          <w:szCs w:val="22"/>
          <w:lang w:eastAsia="es-CO"/>
        </w:rPr>
        <w:t xml:space="preserve">Artículo </w:t>
      </w:r>
      <w:r w:rsidR="00EC7384">
        <w:rPr>
          <w:rFonts w:cs="Arial"/>
          <w:b/>
          <w:sz w:val="22"/>
          <w:szCs w:val="22"/>
          <w:lang w:eastAsia="es-CO"/>
        </w:rPr>
        <w:t>4</w:t>
      </w:r>
      <w:r>
        <w:rPr>
          <w:rFonts w:cs="Arial"/>
          <w:b/>
          <w:sz w:val="22"/>
          <w:szCs w:val="22"/>
          <w:lang w:eastAsia="es-CO"/>
        </w:rPr>
        <w:t xml:space="preserve">. </w:t>
      </w:r>
      <w:r w:rsidR="003B0CDF" w:rsidRPr="009E4898">
        <w:rPr>
          <w:rFonts w:cs="Arial"/>
          <w:sz w:val="22"/>
          <w:szCs w:val="22"/>
          <w:lang w:eastAsia="es-CO"/>
        </w:rPr>
        <w:t>La presente Resolución rige a partir de</w:t>
      </w:r>
      <w:r w:rsidR="00E5565E">
        <w:rPr>
          <w:rFonts w:cs="Arial"/>
          <w:sz w:val="22"/>
          <w:szCs w:val="22"/>
          <w:lang w:eastAsia="es-CO"/>
        </w:rPr>
        <w:t xml:space="preserve">l día siguiente a su </w:t>
      </w:r>
      <w:r w:rsidR="00630FC1">
        <w:rPr>
          <w:rFonts w:cs="Arial"/>
          <w:sz w:val="22"/>
          <w:szCs w:val="22"/>
          <w:lang w:eastAsia="es-CO"/>
        </w:rPr>
        <w:t>publicación en</w:t>
      </w:r>
      <w:r w:rsidR="00F75B9E">
        <w:rPr>
          <w:rFonts w:cs="Arial"/>
          <w:sz w:val="22"/>
          <w:szCs w:val="22"/>
          <w:lang w:eastAsia="es-CO"/>
        </w:rPr>
        <w:t xml:space="preserve"> el Registro Distrital </w:t>
      </w:r>
      <w:r w:rsidR="00B24C4A">
        <w:rPr>
          <w:rFonts w:cs="Arial"/>
          <w:sz w:val="22"/>
          <w:szCs w:val="22"/>
          <w:lang w:eastAsia="es-CO"/>
        </w:rPr>
        <w:t xml:space="preserve">y se aplica </w:t>
      </w:r>
      <w:r w:rsidR="0083107D">
        <w:rPr>
          <w:rFonts w:cs="Arial"/>
          <w:sz w:val="22"/>
          <w:szCs w:val="22"/>
          <w:lang w:eastAsia="es-CO"/>
        </w:rPr>
        <w:t xml:space="preserve">a </w:t>
      </w:r>
      <w:r w:rsidR="00953750">
        <w:rPr>
          <w:rFonts w:cs="Arial"/>
          <w:sz w:val="22"/>
          <w:szCs w:val="22"/>
          <w:lang w:eastAsia="es-CO"/>
        </w:rPr>
        <w:t xml:space="preserve">las nuevas familias recomendadas </w:t>
      </w:r>
      <w:r w:rsidR="002C74DF">
        <w:rPr>
          <w:rFonts w:cs="Arial"/>
          <w:sz w:val="22"/>
          <w:szCs w:val="22"/>
          <w:lang w:eastAsia="es-CO"/>
        </w:rPr>
        <w:t xml:space="preserve">para la inclusión en el proceso de reasentamiento </w:t>
      </w:r>
      <w:r w:rsidR="0083107D">
        <w:rPr>
          <w:rFonts w:cs="Arial"/>
          <w:sz w:val="22"/>
          <w:szCs w:val="22"/>
          <w:lang w:eastAsia="es-CO"/>
        </w:rPr>
        <w:t xml:space="preserve">y aquellos </w:t>
      </w:r>
      <w:r w:rsidR="00B24C4A">
        <w:rPr>
          <w:rFonts w:cs="Arial"/>
          <w:sz w:val="22"/>
          <w:szCs w:val="22"/>
          <w:lang w:eastAsia="es-CO"/>
        </w:rPr>
        <w:t xml:space="preserve">que se encuentran en curso </w:t>
      </w:r>
      <w:r w:rsidR="0083107D">
        <w:rPr>
          <w:rFonts w:cs="Arial"/>
          <w:sz w:val="22"/>
          <w:szCs w:val="22"/>
          <w:lang w:eastAsia="es-CO"/>
        </w:rPr>
        <w:t>y</w:t>
      </w:r>
      <w:r w:rsidR="00B24C4A">
        <w:rPr>
          <w:rFonts w:cs="Arial"/>
          <w:sz w:val="22"/>
          <w:szCs w:val="22"/>
          <w:lang w:eastAsia="es-CO"/>
        </w:rPr>
        <w:t xml:space="preserve"> no han sido objeto </w:t>
      </w:r>
      <w:r w:rsidR="00483D4E">
        <w:rPr>
          <w:rFonts w:cs="Arial"/>
          <w:sz w:val="22"/>
          <w:szCs w:val="22"/>
          <w:lang w:eastAsia="es-CO"/>
        </w:rPr>
        <w:t xml:space="preserve">de </w:t>
      </w:r>
      <w:r w:rsidR="00033313">
        <w:rPr>
          <w:rFonts w:cs="Arial"/>
          <w:sz w:val="22"/>
          <w:szCs w:val="22"/>
          <w:lang w:eastAsia="es-CO"/>
        </w:rPr>
        <w:t>acta de cierre</w:t>
      </w:r>
      <w:r w:rsidR="0030051E">
        <w:rPr>
          <w:rFonts w:cs="Arial"/>
          <w:sz w:val="22"/>
          <w:szCs w:val="22"/>
          <w:lang w:eastAsia="es-CO"/>
        </w:rPr>
        <w:t>, conforme lo establece el artículo 2 de la Resolución 1139 de 2022</w:t>
      </w:r>
      <w:r w:rsidR="003B0CDF" w:rsidRPr="009E4898">
        <w:rPr>
          <w:rFonts w:cs="Arial"/>
          <w:sz w:val="22"/>
          <w:szCs w:val="22"/>
          <w:lang w:eastAsia="es-CO"/>
        </w:rPr>
        <w:t>.</w:t>
      </w:r>
    </w:p>
    <w:p w14:paraId="5D34CCDE" w14:textId="777CA5E2" w:rsidR="00D66530" w:rsidRDefault="003B0CDF" w:rsidP="009E4898">
      <w:pPr>
        <w:rPr>
          <w:rFonts w:cs="Arial"/>
          <w:sz w:val="22"/>
          <w:szCs w:val="22"/>
          <w:lang w:eastAsia="es-CO"/>
        </w:rPr>
      </w:pPr>
      <w:r w:rsidRPr="009E4898">
        <w:rPr>
          <w:rFonts w:cs="Arial"/>
          <w:sz w:val="22"/>
          <w:szCs w:val="22"/>
          <w:lang w:eastAsia="es-CO"/>
        </w:rPr>
        <w:t> </w:t>
      </w:r>
    </w:p>
    <w:p w14:paraId="257DDBF7" w14:textId="77777777" w:rsidR="008C0119" w:rsidRPr="009E4898" w:rsidRDefault="003B0CDF" w:rsidP="009E4898">
      <w:pPr>
        <w:jc w:val="center"/>
        <w:rPr>
          <w:rFonts w:cs="Arial"/>
          <w:sz w:val="22"/>
          <w:szCs w:val="22"/>
          <w:lang w:eastAsia="es-CO"/>
        </w:rPr>
      </w:pPr>
      <w:r w:rsidRPr="009E4898">
        <w:rPr>
          <w:rFonts w:cs="Arial"/>
          <w:b/>
          <w:bCs/>
          <w:sz w:val="22"/>
          <w:szCs w:val="22"/>
          <w:lang w:eastAsia="es-CO"/>
        </w:rPr>
        <w:t>PUBLÍQUESE, COMUNÍQUESE Y CÚMPLASE.</w:t>
      </w:r>
    </w:p>
    <w:p w14:paraId="3BCA7054" w14:textId="22FDB47C" w:rsidR="00BE5C5B" w:rsidRDefault="00BE5C5B" w:rsidP="00F75B9E">
      <w:pPr>
        <w:rPr>
          <w:rFonts w:cs="Arial"/>
          <w:b/>
          <w:bCs/>
          <w:sz w:val="22"/>
          <w:szCs w:val="22"/>
          <w:lang w:eastAsia="es-CO"/>
        </w:rPr>
      </w:pPr>
    </w:p>
    <w:p w14:paraId="686C60BB" w14:textId="73E5390C" w:rsidR="008C0119" w:rsidRPr="009E4898" w:rsidRDefault="003B0CDF" w:rsidP="009E4898">
      <w:pPr>
        <w:jc w:val="center"/>
        <w:rPr>
          <w:rFonts w:cs="Arial"/>
          <w:sz w:val="22"/>
          <w:szCs w:val="22"/>
          <w:lang w:eastAsia="es-CO"/>
        </w:rPr>
      </w:pPr>
      <w:r w:rsidRPr="009E4898">
        <w:rPr>
          <w:rFonts w:cs="Arial"/>
          <w:b/>
          <w:bCs/>
          <w:sz w:val="22"/>
          <w:szCs w:val="22"/>
          <w:lang w:eastAsia="es-CO"/>
        </w:rPr>
        <w:t> </w:t>
      </w:r>
    </w:p>
    <w:p w14:paraId="20C7C326" w14:textId="6765786B" w:rsidR="008C0119" w:rsidRPr="00B1605B" w:rsidRDefault="003B0CDF" w:rsidP="009E4898">
      <w:pPr>
        <w:jc w:val="center"/>
        <w:rPr>
          <w:rFonts w:cs="Arial"/>
          <w:sz w:val="22"/>
          <w:szCs w:val="22"/>
          <w:lang w:eastAsia="es-CO"/>
        </w:rPr>
      </w:pPr>
      <w:r w:rsidRPr="00B1605B">
        <w:rPr>
          <w:rFonts w:cs="Arial"/>
          <w:bCs/>
          <w:sz w:val="22"/>
          <w:szCs w:val="22"/>
          <w:lang w:eastAsia="es-CO"/>
        </w:rPr>
        <w:t>Dada en Bogotá, D.C., a los ___ días del mes de ____</w:t>
      </w:r>
      <w:r w:rsidR="000C449C">
        <w:rPr>
          <w:rFonts w:cs="Arial"/>
          <w:bCs/>
          <w:sz w:val="22"/>
          <w:szCs w:val="22"/>
          <w:lang w:eastAsia="es-CO"/>
        </w:rPr>
        <w:t>______________</w:t>
      </w:r>
      <w:r w:rsidRPr="00B1605B">
        <w:rPr>
          <w:rFonts w:cs="Arial"/>
          <w:bCs/>
          <w:sz w:val="22"/>
          <w:szCs w:val="22"/>
          <w:lang w:eastAsia="es-CO"/>
        </w:rPr>
        <w:t>del año 202</w:t>
      </w:r>
      <w:r w:rsidR="000E7BB1">
        <w:rPr>
          <w:rFonts w:cs="Arial"/>
          <w:bCs/>
          <w:sz w:val="22"/>
          <w:szCs w:val="22"/>
          <w:lang w:eastAsia="es-CO"/>
        </w:rPr>
        <w:t>3</w:t>
      </w:r>
      <w:r w:rsidRPr="00B1605B">
        <w:rPr>
          <w:rFonts w:cs="Arial"/>
          <w:bCs/>
          <w:sz w:val="22"/>
          <w:szCs w:val="22"/>
          <w:lang w:eastAsia="es-CO"/>
        </w:rPr>
        <w:t>.</w:t>
      </w:r>
    </w:p>
    <w:p w14:paraId="2A963AC9" w14:textId="77777777" w:rsidR="008C0119" w:rsidRPr="00B1605B" w:rsidRDefault="003B0CDF" w:rsidP="009E4898">
      <w:pPr>
        <w:jc w:val="center"/>
        <w:rPr>
          <w:rFonts w:cs="Arial"/>
          <w:sz w:val="22"/>
          <w:szCs w:val="22"/>
          <w:lang w:eastAsia="es-CO"/>
        </w:rPr>
      </w:pPr>
      <w:r w:rsidRPr="00B1605B">
        <w:rPr>
          <w:rFonts w:cs="Arial"/>
          <w:bCs/>
          <w:sz w:val="22"/>
          <w:szCs w:val="22"/>
          <w:lang w:eastAsia="es-CO"/>
        </w:rPr>
        <w:t> </w:t>
      </w:r>
    </w:p>
    <w:p w14:paraId="7F424889" w14:textId="125F2122" w:rsidR="00B1605B" w:rsidRDefault="00B1605B" w:rsidP="009E4898">
      <w:pPr>
        <w:jc w:val="center"/>
        <w:rPr>
          <w:rFonts w:cs="Arial"/>
          <w:b/>
          <w:bCs/>
          <w:sz w:val="22"/>
          <w:szCs w:val="22"/>
          <w:lang w:eastAsia="es-CO"/>
        </w:rPr>
      </w:pPr>
    </w:p>
    <w:p w14:paraId="6686CD9F" w14:textId="27250BCD" w:rsidR="00BE5C5B" w:rsidRDefault="00BE5C5B" w:rsidP="009E4898">
      <w:pPr>
        <w:jc w:val="center"/>
        <w:rPr>
          <w:rFonts w:cs="Arial"/>
          <w:b/>
          <w:bCs/>
          <w:sz w:val="22"/>
          <w:szCs w:val="22"/>
          <w:lang w:eastAsia="es-CO"/>
        </w:rPr>
      </w:pPr>
    </w:p>
    <w:p w14:paraId="53427FA1" w14:textId="5E571FE9" w:rsidR="0030051E" w:rsidRDefault="0030051E" w:rsidP="009E4898">
      <w:pPr>
        <w:jc w:val="center"/>
        <w:rPr>
          <w:rFonts w:cs="Arial"/>
          <w:b/>
          <w:bCs/>
          <w:sz w:val="22"/>
          <w:szCs w:val="22"/>
          <w:lang w:eastAsia="es-CO"/>
        </w:rPr>
      </w:pPr>
    </w:p>
    <w:p w14:paraId="4F700A1B" w14:textId="370AD3C5" w:rsidR="0030051E" w:rsidRDefault="0030051E" w:rsidP="009E4898">
      <w:pPr>
        <w:jc w:val="center"/>
        <w:rPr>
          <w:rFonts w:cs="Arial"/>
          <w:b/>
          <w:bCs/>
          <w:sz w:val="22"/>
          <w:szCs w:val="22"/>
          <w:lang w:eastAsia="es-CO"/>
        </w:rPr>
      </w:pPr>
    </w:p>
    <w:p w14:paraId="356AFC11" w14:textId="3729FBDA" w:rsidR="0030051E" w:rsidRDefault="0030051E" w:rsidP="009E4898">
      <w:pPr>
        <w:jc w:val="center"/>
        <w:rPr>
          <w:rFonts w:cs="Arial"/>
          <w:b/>
          <w:bCs/>
          <w:sz w:val="22"/>
          <w:szCs w:val="22"/>
          <w:lang w:eastAsia="es-CO"/>
        </w:rPr>
      </w:pPr>
    </w:p>
    <w:p w14:paraId="60AFA8A5" w14:textId="661CF906" w:rsidR="0030051E" w:rsidRDefault="0030051E" w:rsidP="009E4898">
      <w:pPr>
        <w:jc w:val="center"/>
        <w:rPr>
          <w:rFonts w:cs="Arial"/>
          <w:b/>
          <w:bCs/>
          <w:sz w:val="22"/>
          <w:szCs w:val="22"/>
          <w:lang w:eastAsia="es-CO"/>
        </w:rPr>
      </w:pPr>
    </w:p>
    <w:p w14:paraId="008A3F5D" w14:textId="77777777" w:rsidR="0030051E" w:rsidRDefault="0030051E" w:rsidP="009E4898">
      <w:pPr>
        <w:jc w:val="center"/>
        <w:rPr>
          <w:rFonts w:cs="Arial"/>
          <w:b/>
          <w:bCs/>
          <w:sz w:val="22"/>
          <w:szCs w:val="22"/>
          <w:lang w:eastAsia="es-CO"/>
        </w:rPr>
      </w:pPr>
    </w:p>
    <w:p w14:paraId="5A73D498" w14:textId="77777777" w:rsidR="0030051E" w:rsidRDefault="0030051E" w:rsidP="009E4898">
      <w:pPr>
        <w:jc w:val="center"/>
        <w:rPr>
          <w:rFonts w:cs="Arial"/>
          <w:b/>
          <w:bCs/>
          <w:sz w:val="22"/>
          <w:szCs w:val="22"/>
          <w:lang w:eastAsia="es-CO"/>
        </w:rPr>
      </w:pPr>
    </w:p>
    <w:p w14:paraId="28EBD66A" w14:textId="77777777" w:rsidR="00B1605B" w:rsidRDefault="00B1605B" w:rsidP="009E4898">
      <w:pPr>
        <w:jc w:val="center"/>
        <w:rPr>
          <w:rFonts w:cs="Arial"/>
          <w:b/>
          <w:bCs/>
          <w:sz w:val="22"/>
          <w:szCs w:val="22"/>
          <w:lang w:eastAsia="es-CO"/>
        </w:rPr>
      </w:pPr>
    </w:p>
    <w:p w14:paraId="6059EA6A" w14:textId="50EB5B4F" w:rsidR="008C0119" w:rsidRPr="009E4898" w:rsidRDefault="000E7BB1" w:rsidP="009E4898">
      <w:pPr>
        <w:jc w:val="center"/>
        <w:rPr>
          <w:rFonts w:cs="Arial"/>
          <w:sz w:val="22"/>
          <w:szCs w:val="22"/>
          <w:lang w:eastAsia="es-CO"/>
        </w:rPr>
      </w:pPr>
      <w:r>
        <w:rPr>
          <w:rFonts w:cs="Arial"/>
          <w:b/>
          <w:bCs/>
          <w:sz w:val="22"/>
          <w:szCs w:val="22"/>
          <w:lang w:eastAsia="es-CO"/>
        </w:rPr>
        <w:t>JAVIER ANDR</w:t>
      </w:r>
      <w:r w:rsidR="00BE5C5B">
        <w:rPr>
          <w:rFonts w:cs="Arial"/>
          <w:b/>
          <w:bCs/>
          <w:sz w:val="22"/>
          <w:szCs w:val="22"/>
          <w:lang w:eastAsia="es-CO"/>
        </w:rPr>
        <w:t>ÉS</w:t>
      </w:r>
      <w:r>
        <w:rPr>
          <w:rFonts w:cs="Arial"/>
          <w:b/>
          <w:bCs/>
          <w:sz w:val="22"/>
          <w:szCs w:val="22"/>
          <w:lang w:eastAsia="es-CO"/>
        </w:rPr>
        <w:t xml:space="preserve"> BAQUERO MALDONADO</w:t>
      </w:r>
    </w:p>
    <w:p w14:paraId="579664F3" w14:textId="77777777" w:rsidR="008C0119" w:rsidRPr="009E4898" w:rsidRDefault="003B0CDF" w:rsidP="009E4898">
      <w:pPr>
        <w:jc w:val="center"/>
        <w:rPr>
          <w:rFonts w:cs="Arial"/>
          <w:sz w:val="22"/>
          <w:szCs w:val="22"/>
          <w:lang w:eastAsia="es-CO"/>
        </w:rPr>
      </w:pPr>
      <w:r w:rsidRPr="009E4898">
        <w:rPr>
          <w:rFonts w:cs="Arial"/>
          <w:b/>
          <w:bCs/>
          <w:sz w:val="22"/>
          <w:szCs w:val="22"/>
          <w:lang w:eastAsia="es-CO"/>
        </w:rPr>
        <w:t>Director General</w:t>
      </w:r>
    </w:p>
    <w:p w14:paraId="6A485636" w14:textId="38DB23CD" w:rsidR="0030051E" w:rsidRDefault="0030051E" w:rsidP="009E4898">
      <w:pPr>
        <w:rPr>
          <w:rFonts w:ascii="Times New Roman" w:hAnsi="Times New Roman"/>
          <w:sz w:val="22"/>
          <w:szCs w:val="22"/>
          <w:lang w:eastAsia="es-CO"/>
        </w:rPr>
      </w:pPr>
    </w:p>
    <w:p w14:paraId="49F9487D" w14:textId="76EC9AB9" w:rsidR="0030051E" w:rsidRDefault="0030051E" w:rsidP="009E4898">
      <w:pPr>
        <w:rPr>
          <w:rFonts w:ascii="Times New Roman" w:hAnsi="Times New Roman"/>
          <w:sz w:val="22"/>
          <w:szCs w:val="22"/>
          <w:lang w:eastAsia="es-CO"/>
        </w:rPr>
      </w:pPr>
    </w:p>
    <w:p w14:paraId="6DF89395" w14:textId="77777777" w:rsidR="0030051E" w:rsidRDefault="0030051E" w:rsidP="009E4898">
      <w:pPr>
        <w:rPr>
          <w:rFonts w:ascii="Times New Roman" w:hAnsi="Times New Roman"/>
          <w:sz w:val="22"/>
          <w:szCs w:val="22"/>
          <w:lang w:eastAsia="es-CO"/>
        </w:rPr>
      </w:pPr>
    </w:p>
    <w:p w14:paraId="03A3D4DB" w14:textId="7054B9BB" w:rsidR="008C0119" w:rsidRPr="000C449C" w:rsidRDefault="003B0CDF" w:rsidP="009E4898">
      <w:pPr>
        <w:rPr>
          <w:rFonts w:cs="Arial"/>
          <w:color w:val="000000"/>
          <w:sz w:val="14"/>
          <w:szCs w:val="16"/>
        </w:rPr>
      </w:pPr>
      <w:r w:rsidRPr="000C449C">
        <w:rPr>
          <w:rFonts w:cs="Arial"/>
          <w:color w:val="000000"/>
          <w:sz w:val="14"/>
          <w:szCs w:val="16"/>
        </w:rPr>
        <w:t xml:space="preserve">Proyectó: </w:t>
      </w:r>
      <w:r w:rsidR="000C449C">
        <w:rPr>
          <w:rFonts w:cs="Arial"/>
          <w:color w:val="000000"/>
          <w:sz w:val="14"/>
          <w:szCs w:val="16"/>
        </w:rPr>
        <w:tab/>
      </w:r>
      <w:r w:rsidRPr="000C449C">
        <w:rPr>
          <w:rFonts w:cs="Arial"/>
          <w:color w:val="000000"/>
          <w:sz w:val="14"/>
          <w:szCs w:val="16"/>
        </w:rPr>
        <w:t xml:space="preserve">Wilson </w:t>
      </w:r>
      <w:r w:rsidR="000C449C" w:rsidRPr="000C449C">
        <w:rPr>
          <w:rFonts w:cs="Arial"/>
          <w:color w:val="000000"/>
          <w:sz w:val="14"/>
          <w:szCs w:val="16"/>
        </w:rPr>
        <w:t>García</w:t>
      </w:r>
      <w:r w:rsidRPr="000C449C">
        <w:rPr>
          <w:rFonts w:cs="Arial"/>
          <w:color w:val="000000"/>
          <w:sz w:val="14"/>
          <w:szCs w:val="16"/>
        </w:rPr>
        <w:t xml:space="preserve"> Villamar</w:t>
      </w:r>
      <w:r w:rsidR="000C449C">
        <w:rPr>
          <w:rFonts w:cs="Arial"/>
          <w:color w:val="000000"/>
          <w:sz w:val="14"/>
          <w:szCs w:val="16"/>
        </w:rPr>
        <w:t>í</w:t>
      </w:r>
      <w:r w:rsidRPr="000C449C">
        <w:rPr>
          <w:rFonts w:cs="Arial"/>
          <w:color w:val="000000"/>
          <w:sz w:val="14"/>
          <w:szCs w:val="16"/>
        </w:rPr>
        <w:t xml:space="preserve">n </w:t>
      </w:r>
      <w:r w:rsidR="000C449C">
        <w:rPr>
          <w:rFonts w:cs="Arial"/>
          <w:color w:val="000000"/>
          <w:sz w:val="14"/>
          <w:szCs w:val="16"/>
        </w:rPr>
        <w:t>-</w:t>
      </w:r>
      <w:r w:rsidR="008E645F" w:rsidRPr="000C449C">
        <w:rPr>
          <w:rFonts w:cs="Arial"/>
          <w:color w:val="000000"/>
          <w:sz w:val="14"/>
          <w:szCs w:val="16"/>
        </w:rPr>
        <w:t xml:space="preserve">Profesional Universitario </w:t>
      </w:r>
      <w:r w:rsidR="000E7BB1" w:rsidRPr="000C449C">
        <w:rPr>
          <w:rFonts w:cs="Arial"/>
          <w:color w:val="000000"/>
          <w:sz w:val="14"/>
          <w:szCs w:val="16"/>
        </w:rPr>
        <w:t xml:space="preserve"> </w:t>
      </w:r>
    </w:p>
    <w:p w14:paraId="303EE0FA" w14:textId="5657E8AD" w:rsidR="008E645F" w:rsidRPr="000C449C" w:rsidRDefault="008E645F" w:rsidP="000C449C">
      <w:pPr>
        <w:ind w:firstLine="708"/>
        <w:rPr>
          <w:rFonts w:cs="Arial"/>
          <w:color w:val="000000"/>
          <w:sz w:val="14"/>
          <w:szCs w:val="16"/>
        </w:rPr>
      </w:pPr>
      <w:r w:rsidRPr="000C449C">
        <w:rPr>
          <w:rFonts w:cs="Arial"/>
          <w:color w:val="000000"/>
          <w:sz w:val="14"/>
          <w:szCs w:val="16"/>
        </w:rPr>
        <w:t xml:space="preserve">Carlos Mario </w:t>
      </w:r>
      <w:r w:rsidR="000C449C" w:rsidRPr="000C449C">
        <w:rPr>
          <w:rFonts w:cs="Arial"/>
          <w:color w:val="000000"/>
          <w:sz w:val="14"/>
          <w:szCs w:val="16"/>
        </w:rPr>
        <w:t>Aramburu</w:t>
      </w:r>
      <w:r w:rsidRPr="000C449C">
        <w:rPr>
          <w:rFonts w:cs="Arial"/>
          <w:color w:val="000000"/>
          <w:sz w:val="14"/>
          <w:szCs w:val="16"/>
        </w:rPr>
        <w:t xml:space="preserve"> </w:t>
      </w:r>
      <w:r w:rsidR="000C449C">
        <w:rPr>
          <w:rFonts w:cs="Arial"/>
          <w:color w:val="000000"/>
          <w:sz w:val="14"/>
          <w:szCs w:val="16"/>
        </w:rPr>
        <w:t>-</w:t>
      </w:r>
      <w:r w:rsidRPr="000C449C">
        <w:rPr>
          <w:rFonts w:cs="Arial"/>
          <w:color w:val="000000"/>
          <w:sz w:val="14"/>
          <w:szCs w:val="16"/>
        </w:rPr>
        <w:t xml:space="preserve">Contratista </w:t>
      </w:r>
    </w:p>
    <w:p w14:paraId="1E5EBE6E" w14:textId="5DFB25DB" w:rsidR="000C449C" w:rsidRDefault="003B0CDF" w:rsidP="009E4898">
      <w:pPr>
        <w:rPr>
          <w:rFonts w:cs="Arial"/>
          <w:color w:val="000000"/>
          <w:sz w:val="14"/>
          <w:szCs w:val="16"/>
        </w:rPr>
      </w:pPr>
      <w:r w:rsidRPr="000C449C">
        <w:rPr>
          <w:rFonts w:cs="Arial"/>
          <w:color w:val="000000"/>
          <w:sz w:val="14"/>
          <w:szCs w:val="16"/>
        </w:rPr>
        <w:t>Revisó</w:t>
      </w:r>
      <w:r w:rsidR="000C449C">
        <w:rPr>
          <w:rFonts w:cs="Arial"/>
          <w:color w:val="000000"/>
          <w:sz w:val="14"/>
          <w:szCs w:val="16"/>
        </w:rPr>
        <w:t xml:space="preserve">: </w:t>
      </w:r>
      <w:r w:rsidR="000C449C">
        <w:rPr>
          <w:rFonts w:cs="Arial"/>
          <w:color w:val="000000"/>
          <w:sz w:val="14"/>
          <w:szCs w:val="16"/>
        </w:rPr>
        <w:tab/>
      </w:r>
      <w:r w:rsidR="000C449C" w:rsidRPr="000C449C">
        <w:rPr>
          <w:rFonts w:cs="Arial"/>
          <w:color w:val="000000"/>
          <w:sz w:val="14"/>
          <w:szCs w:val="16"/>
        </w:rPr>
        <w:t>Carlos Alberto Alvarez Perez</w:t>
      </w:r>
      <w:r w:rsidR="000C449C">
        <w:rPr>
          <w:rFonts w:cs="Arial"/>
          <w:color w:val="000000"/>
          <w:sz w:val="14"/>
          <w:szCs w:val="16"/>
        </w:rPr>
        <w:t xml:space="preserve"> -Contratista</w:t>
      </w:r>
      <w:r w:rsidRPr="000C449C">
        <w:rPr>
          <w:rFonts w:cs="Arial"/>
          <w:color w:val="000000"/>
          <w:sz w:val="14"/>
          <w:szCs w:val="16"/>
        </w:rPr>
        <w:t xml:space="preserve">  </w:t>
      </w:r>
    </w:p>
    <w:p w14:paraId="35308A53" w14:textId="53686A62" w:rsidR="008C0119" w:rsidRPr="000C449C" w:rsidRDefault="003B0CDF" w:rsidP="009E4898">
      <w:pPr>
        <w:rPr>
          <w:rFonts w:cs="Arial"/>
          <w:color w:val="000000"/>
          <w:sz w:val="14"/>
          <w:szCs w:val="16"/>
        </w:rPr>
      </w:pPr>
      <w:r w:rsidRPr="000C449C">
        <w:rPr>
          <w:rFonts w:cs="Arial"/>
          <w:color w:val="000000"/>
          <w:sz w:val="14"/>
          <w:szCs w:val="16"/>
        </w:rPr>
        <w:t>Aprobó:</w:t>
      </w:r>
      <w:r w:rsidRPr="000C449C">
        <w:rPr>
          <w:rFonts w:cs="Arial"/>
          <w:color w:val="000000"/>
          <w:sz w:val="14"/>
          <w:szCs w:val="16"/>
        </w:rPr>
        <w:tab/>
      </w:r>
      <w:r w:rsidR="000E7BB1" w:rsidRPr="000C449C">
        <w:rPr>
          <w:rFonts w:cs="Arial"/>
          <w:color w:val="000000"/>
          <w:sz w:val="14"/>
          <w:szCs w:val="16"/>
        </w:rPr>
        <w:t>Sergio Alv</w:t>
      </w:r>
      <w:r w:rsidR="000C449C">
        <w:rPr>
          <w:rFonts w:cs="Arial"/>
          <w:color w:val="000000"/>
          <w:sz w:val="14"/>
          <w:szCs w:val="16"/>
        </w:rPr>
        <w:t>e</w:t>
      </w:r>
      <w:r w:rsidR="000E7BB1" w:rsidRPr="000C449C">
        <w:rPr>
          <w:rFonts w:cs="Arial"/>
          <w:color w:val="000000"/>
          <w:sz w:val="14"/>
          <w:szCs w:val="16"/>
        </w:rPr>
        <w:t>nix Forero Reyes</w:t>
      </w:r>
      <w:r w:rsidR="000C449C">
        <w:rPr>
          <w:rFonts w:cs="Arial"/>
          <w:color w:val="000000"/>
          <w:sz w:val="14"/>
          <w:szCs w:val="16"/>
        </w:rPr>
        <w:t xml:space="preserve"> -</w:t>
      </w:r>
      <w:r w:rsidRPr="000C449C">
        <w:rPr>
          <w:rFonts w:cs="Arial"/>
          <w:color w:val="000000"/>
          <w:sz w:val="14"/>
          <w:szCs w:val="16"/>
        </w:rPr>
        <w:t>Director Jurídico</w:t>
      </w:r>
    </w:p>
    <w:p w14:paraId="2237683F" w14:textId="54943908" w:rsidR="008C0119" w:rsidRPr="000C449C" w:rsidRDefault="000C449C" w:rsidP="009E4898">
      <w:pPr>
        <w:rPr>
          <w:rFonts w:cs="Arial"/>
          <w:color w:val="000000"/>
          <w:sz w:val="14"/>
          <w:szCs w:val="16"/>
        </w:rPr>
      </w:pPr>
      <w:r>
        <w:rPr>
          <w:rFonts w:cs="Arial"/>
          <w:color w:val="000000"/>
          <w:sz w:val="14"/>
          <w:szCs w:val="16"/>
        </w:rPr>
        <w:tab/>
      </w:r>
      <w:r w:rsidR="000E7BB1" w:rsidRPr="000C449C">
        <w:rPr>
          <w:rFonts w:cs="Arial"/>
          <w:color w:val="000000"/>
          <w:sz w:val="14"/>
          <w:szCs w:val="16"/>
        </w:rPr>
        <w:t>Diana Ang</w:t>
      </w:r>
      <w:r w:rsidR="00EE50ED" w:rsidRPr="000C449C">
        <w:rPr>
          <w:rFonts w:cs="Arial"/>
          <w:color w:val="000000"/>
          <w:sz w:val="14"/>
          <w:szCs w:val="16"/>
        </w:rPr>
        <w:t>é</w:t>
      </w:r>
      <w:r w:rsidR="000E7BB1" w:rsidRPr="000C449C">
        <w:rPr>
          <w:rFonts w:cs="Arial"/>
          <w:color w:val="000000"/>
          <w:sz w:val="14"/>
          <w:szCs w:val="16"/>
        </w:rPr>
        <w:t>lica López Rodríguez</w:t>
      </w:r>
      <w:r w:rsidR="003B0CDF" w:rsidRPr="000C449C">
        <w:rPr>
          <w:rFonts w:cs="Arial"/>
          <w:color w:val="000000"/>
          <w:sz w:val="14"/>
          <w:szCs w:val="16"/>
        </w:rPr>
        <w:t xml:space="preserve"> – Directora Técnica de Reasentamientos </w:t>
      </w:r>
    </w:p>
    <w:p w14:paraId="42A70769" w14:textId="77777777" w:rsidR="008C0119" w:rsidRPr="000C449C" w:rsidRDefault="008C0119" w:rsidP="009E4898">
      <w:pPr>
        <w:rPr>
          <w:rFonts w:cs="Arial"/>
          <w:color w:val="000000"/>
          <w:sz w:val="14"/>
          <w:szCs w:val="16"/>
        </w:rPr>
      </w:pPr>
    </w:p>
    <w:p w14:paraId="1CD42EC6" w14:textId="77777777" w:rsidR="008C0119" w:rsidRPr="000C449C" w:rsidRDefault="003B0CDF" w:rsidP="009E4898">
      <w:pPr>
        <w:rPr>
          <w:rFonts w:cs="Arial"/>
          <w:color w:val="000000"/>
          <w:sz w:val="14"/>
          <w:szCs w:val="16"/>
        </w:rPr>
      </w:pPr>
      <w:r w:rsidRPr="000C449C">
        <w:rPr>
          <w:rFonts w:cs="Arial"/>
          <w:color w:val="000000"/>
          <w:sz w:val="14"/>
          <w:szCs w:val="16"/>
        </w:rPr>
        <w:t xml:space="preserve">Archivado en: Sub-serie Resolución Administrativa-Dirección General </w:t>
      </w:r>
    </w:p>
    <w:sectPr w:rsidR="008C0119" w:rsidRPr="000C449C">
      <w:headerReference w:type="default" r:id="rId8"/>
      <w:footerReference w:type="default" r:id="rId9"/>
      <w:pgSz w:w="11906" w:h="16838"/>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BE02" w16cex:dateUtc="2023-04-21T12:47:00Z"/>
  <w16cex:commentExtensible w16cex:durableId="27ECBE28" w16cex:dateUtc="2023-04-21T12:47:00Z"/>
  <w16cex:commentExtensible w16cex:durableId="27ECCF29" w16cex:dateUtc="2023-04-21T14:00:00Z"/>
  <w16cex:commentExtensible w16cex:durableId="27ECD083" w16cex:dateUtc="2023-04-21T14:06:00Z"/>
  <w16cex:commentExtensible w16cex:durableId="27ECD888" w16cex:dateUtc="2023-04-21T14:40:00Z"/>
  <w16cex:commentExtensible w16cex:durableId="27ECBE6E" w16cex:dateUtc="2023-04-21T12:49:00Z"/>
  <w16cex:commentExtensible w16cex:durableId="27ECD1FA" w16cex:dateUtc="2023-04-21T13:11:00Z"/>
  <w16cex:commentExtensible w16cex:durableId="27ECD1F9" w16cex:dateUtc="2023-04-21T13:15:00Z"/>
  <w16cex:commentExtensible w16cex:durableId="27ECD1F8" w16cex:dateUtc="2023-04-21T11:11:00Z"/>
  <w16cex:commentExtensible w16cex:durableId="27ECD1F7" w16cex:dateUtc="2023-04-21T13:16:00Z"/>
  <w16cex:commentExtensible w16cex:durableId="27ECA7FD" w16cex:dateUtc="2023-04-21T11:13:00Z"/>
  <w16cex:commentExtensible w16cex:durableId="27ECC0AE" w16cex:dateUtc="2023-04-21T12:58:00Z"/>
  <w16cex:commentExtensible w16cex:durableId="27ECCA0A" w16cex:dateUtc="2023-04-2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36006" w16cid:durableId="27ECBE02"/>
  <w16cid:commentId w16cid:paraId="1C83D250" w16cid:durableId="27ECBE28"/>
  <w16cid:commentId w16cid:paraId="153E667A" w16cid:durableId="27ECCF29"/>
  <w16cid:commentId w16cid:paraId="78652747" w16cid:durableId="27ECD083"/>
  <w16cid:commentId w16cid:paraId="77268F22" w16cid:durableId="27ECD888"/>
  <w16cid:commentId w16cid:paraId="13BE8656" w16cid:durableId="27ECBE6E"/>
  <w16cid:commentId w16cid:paraId="14F9484B" w16cid:durableId="27ECD1FA"/>
  <w16cid:commentId w16cid:paraId="3A5710C8" w16cid:durableId="27ECD1F9"/>
  <w16cid:commentId w16cid:paraId="392B9097" w16cid:durableId="27ECD1F8"/>
  <w16cid:commentId w16cid:paraId="5756B2B7" w16cid:durableId="27ECD1F7"/>
  <w16cid:commentId w16cid:paraId="7DE1F326" w16cid:durableId="27ECA7FD"/>
  <w16cid:commentId w16cid:paraId="2A9248C6" w16cid:durableId="27ECC0AE"/>
  <w16cid:commentId w16cid:paraId="65DE31A1" w16cid:durableId="27ECCA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D9EC" w14:textId="77777777" w:rsidR="00166321" w:rsidRDefault="00166321">
      <w:r>
        <w:separator/>
      </w:r>
    </w:p>
  </w:endnote>
  <w:endnote w:type="continuationSeparator" w:id="0">
    <w:p w14:paraId="01BE723C" w14:textId="77777777" w:rsidR="00166321" w:rsidRDefault="0016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F723" w14:textId="77777777" w:rsidR="008C0119" w:rsidRDefault="003B0CDF">
    <w:pPr>
      <w:keepNext/>
      <w:keepLines/>
      <w:tabs>
        <w:tab w:val="center" w:pos="4419"/>
        <w:tab w:val="right" w:pos="8838"/>
      </w:tabs>
      <w:rPr>
        <w:sz w:val="16"/>
        <w:szCs w:val="16"/>
      </w:rPr>
    </w:pPr>
    <w:r>
      <w:t xml:space="preserve">  </w:t>
    </w:r>
    <w:r>
      <w:rPr>
        <w:noProof/>
        <w:lang w:val="es-MX" w:eastAsia="es-MX"/>
      </w:rPr>
      <mc:AlternateContent>
        <mc:Choice Requires="wpg">
          <w:drawing>
            <wp:anchor distT="114300" distB="114300" distL="114300" distR="114300" simplePos="0" relativeHeight="251662336" behindDoc="0" locked="0" layoutInCell="1" allowOverlap="1" wp14:anchorId="608D8111" wp14:editId="2F9D55D3">
              <wp:simplePos x="0" y="0"/>
              <wp:positionH relativeFrom="column">
                <wp:posOffset>2286000</wp:posOffset>
              </wp:positionH>
              <wp:positionV relativeFrom="paragraph">
                <wp:posOffset>142875</wp:posOffset>
              </wp:positionV>
              <wp:extent cx="1172845" cy="771525"/>
              <wp:effectExtent l="0" t="0" r="8255" b="9525"/>
              <wp:wrapNone/>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a:stretch/>
                    </pic:blipFill>
                    <pic:spPr bwMode="auto">
                      <a:xfrm>
                        <a:off x="0" y="0"/>
                        <a:ext cx="1172845" cy="771525"/>
                      </a:xfrm>
                      <a:prstGeom prst="rect">
                        <a:avLst/>
                      </a:prstGeom>
                      <a:noFill/>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9.0pt;mso-wrap-distance-right:9.0pt;mso-wrap-distance-bottom:9.0pt;z-index:251662336;o:allowoverlap:true;o:allowincell:true;mso-position-horizontal-relative:text;margin-left:180.0pt;mso-position-horizontal:absolute;mso-position-vertical-relative:text;margin-top:11.2pt;mso-position-vertical:absolute;width:92.3pt;height:60.8pt;" stroked="false">
              <v:path textboxrect="0,0,0,0"/>
              <v:imagedata r:id="rId2" o:title=""/>
            </v:shape>
          </w:pict>
        </mc:Fallback>
      </mc:AlternateContent>
    </w:r>
    <w:r>
      <w:rPr>
        <w:noProof/>
        <w:lang w:val="es-MX" w:eastAsia="es-MX"/>
      </w:rPr>
      <mc:AlternateContent>
        <mc:Choice Requires="wpg">
          <w:drawing>
            <wp:anchor distT="114300" distB="114300" distL="114300" distR="114300" simplePos="0" relativeHeight="251663360" behindDoc="0" locked="0" layoutInCell="1" allowOverlap="1" wp14:anchorId="41F241AA" wp14:editId="05CDF193">
              <wp:simplePos x="0" y="0"/>
              <wp:positionH relativeFrom="column">
                <wp:posOffset>5295900</wp:posOffset>
              </wp:positionH>
              <wp:positionV relativeFrom="paragraph">
                <wp:posOffset>171450</wp:posOffset>
              </wp:positionV>
              <wp:extent cx="673100" cy="714375"/>
              <wp:effectExtent l="0" t="0" r="0" b="9525"/>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3"/>
                      <a:srcRect l="86263" t="8830" b="26369"/>
                      <a:stretch/>
                    </pic:blipFill>
                    <pic:spPr bwMode="auto">
                      <a:xfrm>
                        <a:off x="0" y="0"/>
                        <a:ext cx="673100" cy="714375"/>
                      </a:xfrm>
                      <a:prstGeom prst="rect">
                        <a:avLst/>
                      </a:prstGeom>
                      <a:noFill/>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9.0pt;mso-wrap-distance-right:9.0pt;mso-wrap-distance-bottom:9.0pt;z-index:251663360;o:allowoverlap:true;o:allowincell:true;mso-position-horizontal-relative:text;margin-left:417.0pt;mso-position-horizontal:absolute;mso-position-vertical-relative:text;margin-top:13.5pt;mso-position-vertical:absolute;width:53.0pt;height:56.2pt;" stroked="false">
              <v:path textboxrect="0,0,0,0"/>
              <v:imagedata r:id="rId4" o:title=""/>
            </v:shape>
          </w:pict>
        </mc:Fallback>
      </mc:AlternateContent>
    </w:r>
  </w:p>
  <w:p w14:paraId="6FCFDE7E" w14:textId="77777777" w:rsidR="008C0119" w:rsidRDefault="003B0CDF">
    <w:pPr>
      <w:keepNext/>
      <w:keepLines/>
      <w:tabs>
        <w:tab w:val="center" w:pos="4419"/>
        <w:tab w:val="right" w:pos="8838"/>
      </w:tabs>
      <w:rPr>
        <w:sz w:val="16"/>
        <w:szCs w:val="16"/>
      </w:rPr>
    </w:pPr>
    <w:r>
      <w:rPr>
        <w:sz w:val="16"/>
        <w:szCs w:val="16"/>
      </w:rPr>
      <w:t xml:space="preserve">Calle 54 No. 13-30 </w:t>
    </w:r>
  </w:p>
  <w:p w14:paraId="14976D61" w14:textId="77777777" w:rsidR="008C0119" w:rsidRDefault="003B0CDF">
    <w:pPr>
      <w:keepNext/>
      <w:keepLines/>
      <w:tabs>
        <w:tab w:val="center" w:pos="4419"/>
        <w:tab w:val="right" w:pos="8838"/>
      </w:tabs>
      <w:rPr>
        <w:sz w:val="16"/>
        <w:szCs w:val="16"/>
      </w:rPr>
    </w:pPr>
    <w:r>
      <w:rPr>
        <w:sz w:val="16"/>
        <w:szCs w:val="16"/>
      </w:rPr>
      <w:t xml:space="preserve">Código Postal: 110231, Bogotá D.C. </w:t>
    </w:r>
  </w:p>
  <w:p w14:paraId="104BE168" w14:textId="77777777" w:rsidR="008C0119" w:rsidRDefault="003B0CDF">
    <w:pPr>
      <w:keepNext/>
      <w:keepLines/>
      <w:tabs>
        <w:tab w:val="center" w:pos="4419"/>
        <w:tab w:val="right" w:pos="8838"/>
      </w:tabs>
      <w:rPr>
        <w:sz w:val="16"/>
        <w:szCs w:val="16"/>
      </w:rPr>
    </w:pPr>
    <w:r>
      <w:rPr>
        <w:sz w:val="16"/>
        <w:szCs w:val="16"/>
      </w:rPr>
      <w:t xml:space="preserve">PBX: (60-1) 3494550​ - (60-1) 3494520 </w:t>
    </w:r>
  </w:p>
  <w:p w14:paraId="4A130AFA" w14:textId="77777777" w:rsidR="008C0119" w:rsidRDefault="003B0CDF">
    <w:pPr>
      <w:keepNext/>
      <w:keepLines/>
      <w:tabs>
        <w:tab w:val="center" w:pos="4419"/>
        <w:tab w:val="right" w:pos="8838"/>
      </w:tabs>
      <w:rPr>
        <w:sz w:val="16"/>
        <w:szCs w:val="16"/>
      </w:rPr>
    </w:pPr>
    <w:r>
      <w:rPr>
        <w:sz w:val="16"/>
        <w:szCs w:val="16"/>
      </w:rPr>
      <w:t xml:space="preserve">FAX:(60-1) 310 5583 </w:t>
    </w:r>
  </w:p>
  <w:p w14:paraId="5798FB80" w14:textId="77777777" w:rsidR="008C0119" w:rsidRDefault="003B0CDF">
    <w:pPr>
      <w:keepNext/>
      <w:keepLines/>
      <w:tabs>
        <w:tab w:val="center" w:pos="4419"/>
        <w:tab w:val="right" w:pos="8838"/>
      </w:tabs>
      <w:rPr>
        <w:sz w:val="16"/>
        <w:szCs w:val="16"/>
      </w:rPr>
    </w:pPr>
    <w:r>
      <w:rPr>
        <w:sz w:val="16"/>
        <w:szCs w:val="16"/>
      </w:rPr>
      <w:t xml:space="preserve">www.cajaviviendapopular.gov.co </w:t>
    </w:r>
  </w:p>
  <w:p w14:paraId="22F53FCF" w14:textId="77777777" w:rsidR="008C0119" w:rsidRDefault="00166321">
    <w:pPr>
      <w:keepNext/>
      <w:keepLines/>
      <w:tabs>
        <w:tab w:val="center" w:pos="4419"/>
        <w:tab w:val="right" w:pos="8838"/>
      </w:tabs>
      <w:rPr>
        <w:sz w:val="16"/>
        <w:szCs w:val="16"/>
      </w:rPr>
    </w:pPr>
    <w:hyperlink r:id="rId5" w:tooltip="mailto:soluciones@cajaviviendapopular.gov.co" w:history="1">
      <w:r w:rsidR="003B0CDF">
        <w:rPr>
          <w:rStyle w:val="Hipervnculo"/>
          <w:color w:val="1155CC"/>
          <w:sz w:val="16"/>
          <w:szCs w:val="16"/>
        </w:rPr>
        <w:t>soluciones@cajaviviendapopular.gov.co</w:t>
      </w:r>
    </w:hyperlink>
  </w:p>
  <w:p w14:paraId="359DA7AA" w14:textId="77777777" w:rsidR="008C0119" w:rsidRDefault="003B0CDF">
    <w:pPr>
      <w:keepNext/>
      <w:keepLines/>
      <w:tabs>
        <w:tab w:val="center" w:pos="4419"/>
        <w:tab w:val="right" w:pos="8838"/>
      </w:tabs>
      <w:rPr>
        <w:rFonts w:cs="Arial"/>
        <w:sz w:val="14"/>
        <w:szCs w:val="14"/>
      </w:rPr>
    </w:pPr>
    <w:r>
      <w:rPr>
        <w:noProof/>
        <w:lang w:val="es-MX" w:eastAsia="es-MX"/>
      </w:rPr>
      <mc:AlternateContent>
        <mc:Choice Requires="wps">
          <w:drawing>
            <wp:anchor distT="0" distB="0" distL="114300" distR="114300" simplePos="0" relativeHeight="251664384" behindDoc="0" locked="0" layoutInCell="1" allowOverlap="1" wp14:anchorId="48B94D93" wp14:editId="07E1CA96">
              <wp:simplePos x="0" y="0"/>
              <wp:positionH relativeFrom="margin">
                <wp:posOffset>-95250</wp:posOffset>
              </wp:positionH>
              <wp:positionV relativeFrom="paragraph">
                <wp:posOffset>100965</wp:posOffset>
              </wp:positionV>
              <wp:extent cx="3438525" cy="25527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55270"/>
                      </a:xfrm>
                      <a:prstGeom prst="rect">
                        <a:avLst/>
                      </a:prstGeom>
                      <a:solidFill>
                        <a:srgbClr val="FFFFFF"/>
                      </a:solidFill>
                      <a:ln>
                        <a:noFill/>
                      </a:ln>
                    </wps:spPr>
                    <wps:txbx>
                      <w:txbxContent>
                        <w:p w14:paraId="7E5FE8F4" w14:textId="77777777" w:rsidR="008C0119" w:rsidRDefault="003B0CDF">
                          <w:pPr>
                            <w:pStyle w:val="Piedepgina"/>
                            <w:ind w:left="-142" w:firstLine="142"/>
                            <w:rPr>
                              <w:color w:val="A6A6A6"/>
                              <w:sz w:val="36"/>
                              <w:szCs w:val="36"/>
                            </w:rPr>
                          </w:pPr>
                          <w:r>
                            <w:rPr>
                              <w:rFonts w:ascii="Arial" w:hAnsi="Arial" w:cs="Arial"/>
                              <w:color w:val="A6A6A6" w:themeColor="background1" w:themeShade="A6"/>
                              <w:sz w:val="14"/>
                            </w:rPr>
                            <w:t>208-SADM-Ft-123 - Versión 4 - Vigente desde: 21-02-2022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8B94D93" id="Rectangle 3" o:spid="_x0000_s1026" style="position:absolute;left:0;text-align:left;margin-left:-7.5pt;margin-top:7.95pt;width:270.75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" stroked="f">
              <v:textbox>
                <w:txbxContent>
                  <w:p w14:paraId="7E5FE8F4" w14:textId="77777777" w:rsidR="008C0119" w:rsidRDefault="003B0CDF">
                    <w:pPr>
                      <w:pStyle w:val="Piedepgina"/>
                      <w:ind w:left="-142" w:firstLine="142"/>
                      <w:rPr>
                        <w:color w:val="A6A6A6"/>
                        <w:sz w:val="36"/>
                        <w:szCs w:val="36"/>
                      </w:rPr>
                    </w:pPr>
                    <w:r>
                      <w:rPr>
                        <w:rFonts w:ascii="Arial" w:hAnsi="Arial" w:cs="Arial"/>
                        <w:color w:val="A6A6A6" w:themeColor="background1" w:themeShade="A6"/>
                        <w:sz w:val="14"/>
                      </w:rPr>
                      <w:t>208-SADM-Ft-123 - Versión 4 - Vigente desde: 21-02-2022</w:t>
                    </w:r>
                  </w:p>
                </w:txbxContent>
              </v:textbox>
              <w10:wrap anchorx="margin"/>
            </v:rect>
          </w:pict>
        </mc:Fallback>
      </mc:AlternateContent>
    </w:r>
  </w:p>
  <w:p w14:paraId="7C35F8D3" w14:textId="77777777" w:rsidR="008C0119" w:rsidRDefault="003B0CDF">
    <w:pPr>
      <w:pStyle w:val="Piedepgina"/>
      <w:jc w:val="both"/>
    </w:pPr>
    <w:r>
      <w:rPr>
        <w:noProof/>
        <w:u w:val="single"/>
        <w:lang w:val="es-MX" w:eastAsia="es-MX"/>
      </w:rPr>
      <mc:AlternateContent>
        <mc:Choice Requires="wps">
          <w:drawing>
            <wp:anchor distT="0" distB="0" distL="114300" distR="114300" simplePos="0" relativeHeight="251660288" behindDoc="0" locked="0" layoutInCell="1" allowOverlap="1" wp14:anchorId="7C258939" wp14:editId="470E3A68">
              <wp:simplePos x="0" y="0"/>
              <wp:positionH relativeFrom="column">
                <wp:posOffset>281940</wp:posOffset>
              </wp:positionH>
              <wp:positionV relativeFrom="paragraph">
                <wp:posOffset>7620</wp:posOffset>
              </wp:positionV>
              <wp:extent cx="1543050" cy="340242"/>
              <wp:effectExtent l="0" t="0" r="0" b="3175"/>
              <wp:wrapNone/>
              <wp:docPr id="5" name="6 Rectángulo"/>
              <wp:cNvGraphicFramePr/>
              <a:graphic xmlns:a="http://schemas.openxmlformats.org/drawingml/2006/main">
                <a:graphicData uri="http://schemas.microsoft.com/office/word/2010/wordprocessingShape">
                  <wps:wsp>
                    <wps:cNvSpPr/>
                    <wps:spPr bwMode="auto">
                      <a:xfrm>
                        <a:off x="0" y="0"/>
                        <a:ext cx="1543050" cy="3402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4098F" w14:textId="77777777" w:rsidR="008C0119" w:rsidRDefault="008C01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C258939" id="6 Rectángulo" o:spid="_x0000_s1027" style="position:absolute;left:0;text-align:left;margin-left:22.2pt;margin-top:.6pt;width:121.5pt;height:2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" fillcolor="white [3212]" stroked="f" strokeweight="1pt">
              <v:textbox>
                <w:txbxContent>
                  <w:p w14:paraId="7704098F" w14:textId="77777777" w:rsidR="008C0119" w:rsidRDefault="008C0119"/>
                </w:txbxContent>
              </v:textbox>
            </v:rect>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07E37470" wp14:editId="3BF69932">
              <wp:simplePos x="0" y="0"/>
              <wp:positionH relativeFrom="column">
                <wp:posOffset>2245995</wp:posOffset>
              </wp:positionH>
              <wp:positionV relativeFrom="paragraph">
                <wp:posOffset>-464820</wp:posOffset>
              </wp:positionV>
              <wp:extent cx="3601720" cy="29146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720" cy="291465"/>
                      </a:xfrm>
                      <a:prstGeom prst="rect">
                        <a:avLst/>
                      </a:prstGeom>
                      <a:noFill/>
                      <a:ln>
                        <a:noFill/>
                      </a:ln>
                    </wps:spPr>
                    <wps:txbx>
                      <w:txbxContent>
                        <w:p w14:paraId="37B2C5BD" w14:textId="77777777" w:rsidR="008C0119" w:rsidRDefault="008C01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E37470" id="Text Box 1" o:spid="_x0000_s1028" style="position:absolute;left:0;text-align:left;margin-left:176.85pt;margin-top:-36.6pt;width:283.6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" filled="f" stroked="f">
              <v:path arrowok="t"/>
              <v:textbox>
                <w:txbxContent>
                  <w:p w14:paraId="37B2C5BD" w14:textId="77777777" w:rsidR="008C0119" w:rsidRDefault="008C0119"/>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6B50" w14:textId="77777777" w:rsidR="00166321" w:rsidRDefault="00166321">
      <w:r>
        <w:separator/>
      </w:r>
    </w:p>
  </w:footnote>
  <w:footnote w:type="continuationSeparator" w:id="0">
    <w:p w14:paraId="35A3496C" w14:textId="77777777" w:rsidR="00166321" w:rsidRDefault="00166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F1E1" w14:textId="77777777" w:rsidR="008C0119" w:rsidRDefault="008C0119">
    <w:pPr>
      <w:pStyle w:val="Encabezado"/>
      <w:jc w:val="center"/>
      <w:rPr>
        <w:sz w:val="16"/>
        <w:szCs w:val="16"/>
      </w:rPr>
    </w:pPr>
  </w:p>
  <w:p w14:paraId="4F45F96A" w14:textId="411F5418" w:rsidR="008C0119" w:rsidRDefault="003B0CDF">
    <w:pPr>
      <w:pStyle w:val="Encabezado"/>
      <w:jc w:val="center"/>
      <w:rPr>
        <w:rStyle w:val="Nmerodepgina"/>
        <w:sz w:val="16"/>
        <w:szCs w:val="16"/>
      </w:rPr>
    </w:pPr>
    <w:r>
      <w:rPr>
        <w:rFonts w:ascii="Times New Roman" w:hAnsi="Times New Roman"/>
        <w:b/>
        <w:noProof/>
        <w:u w:val="single"/>
        <w:lang w:val="es-MX" w:eastAsia="es-MX"/>
      </w:rPr>
      <mc:AlternateContent>
        <mc:Choice Requires="wpg">
          <w:drawing>
            <wp:inline distT="0" distB="0" distL="0" distR="0" wp14:anchorId="2464F0AD" wp14:editId="4F71EC92">
              <wp:extent cx="2507226" cy="702308"/>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blanco y negro.png"/>
                      <pic:cNvPicPr>
                        <a:picLocks noChangeAspect="1"/>
                      </pic:cNvPicPr>
                    </pic:nvPicPr>
                    <pic:blipFill>
                      <a:blip r:embed="rId1"/>
                      <a:srcRect b="84220"/>
                      <a:stretch/>
                    </pic:blipFill>
                    <pic:spPr bwMode="auto">
                      <a:xfrm>
                        <a:off x="0" y="0"/>
                        <a:ext cx="2546813" cy="713397"/>
                      </a:xfrm>
                      <a:prstGeom prst="rect">
                        <a:avLst/>
                      </a:prstGeom>
                      <a:ln>
                        <a:noFill/>
                      </a:ln>
                    </pic:spPr>
                  </pic:pi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97.4pt;height:55.3pt;" stroked="f">
              <v:path textboxrect="0,0,0,0"/>
              <v:imagedata r:id="rId2" o:title=""/>
            </v:shape>
          </w:pict>
        </mc:Fallback>
      </mc:AlternateContent>
    </w: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sidR="00304F24">
      <w:rPr>
        <w:bCs/>
        <w:noProof/>
        <w:sz w:val="16"/>
        <w:szCs w:val="16"/>
      </w:rPr>
      <w:t>1</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sidR="00304F24">
      <w:rPr>
        <w:bCs/>
        <w:noProof/>
        <w:sz w:val="16"/>
        <w:szCs w:val="16"/>
      </w:rPr>
      <w:t>5</w:t>
    </w:r>
    <w:r>
      <w:rPr>
        <w:bCs/>
        <w:sz w:val="16"/>
        <w:szCs w:val="16"/>
      </w:rPr>
      <w:fldChar w:fldCharType="end"/>
    </w:r>
  </w:p>
  <w:p w14:paraId="4A7E2595" w14:textId="77777777" w:rsidR="008C0119" w:rsidRDefault="008C0119">
    <w:pPr>
      <w:jc w:val="center"/>
      <w:rPr>
        <w:rStyle w:val="Nmerodepgina"/>
        <w:b/>
      </w:rPr>
    </w:pPr>
  </w:p>
  <w:p w14:paraId="6474A94E" w14:textId="77777777" w:rsidR="008C0119" w:rsidRDefault="003B0CDF">
    <w:pPr>
      <w:jc w:val="center"/>
      <w:rPr>
        <w:rStyle w:val="Nmerodepgina"/>
        <w:b/>
        <w:sz w:val="22"/>
        <w:szCs w:val="22"/>
        <w:vertAlign w:val="superscript"/>
      </w:rPr>
    </w:pPr>
    <w:r>
      <w:rPr>
        <w:rStyle w:val="Nmerodepgina"/>
        <w:b/>
        <w:sz w:val="22"/>
        <w:szCs w:val="22"/>
      </w:rPr>
      <w:t>RESOLUCION N</w:t>
    </w:r>
    <w:r>
      <w:rPr>
        <w:rStyle w:val="Nmerodepgina"/>
        <w:b/>
        <w:sz w:val="22"/>
        <w:szCs w:val="22"/>
        <w:vertAlign w:val="superscript"/>
      </w:rPr>
      <w:t>o</w:t>
    </w:r>
  </w:p>
  <w:p w14:paraId="6A900FEB" w14:textId="77777777" w:rsidR="008C0119" w:rsidRDefault="008C0119">
    <w:pPr>
      <w:jc w:val="center"/>
      <w:rPr>
        <w:rStyle w:val="Nmerodepgina"/>
        <w:b/>
        <w:sz w:val="22"/>
        <w:szCs w:val="22"/>
      </w:rPr>
    </w:pPr>
  </w:p>
  <w:p w14:paraId="33BF8A81" w14:textId="03211700" w:rsidR="008C0119" w:rsidRDefault="00C876A6">
    <w:pPr>
      <w:jc w:val="center"/>
      <w:rPr>
        <w:rFonts w:cs="Arial"/>
        <w:sz w:val="22"/>
        <w:szCs w:val="22"/>
        <w:lang w:eastAsia="es-CO"/>
      </w:rPr>
    </w:pPr>
    <w:r>
      <w:rPr>
        <w:rFonts w:cs="Arial"/>
        <w:b/>
        <w:bCs/>
        <w:i/>
        <w:iCs/>
        <w:sz w:val="22"/>
        <w:szCs w:val="22"/>
        <w:lang w:eastAsia="es-CO"/>
      </w:rPr>
      <w:t>“</w:t>
    </w:r>
    <w:r w:rsidR="003B0CDF">
      <w:rPr>
        <w:rFonts w:cs="Arial"/>
        <w:b/>
        <w:bCs/>
        <w:i/>
        <w:iCs/>
        <w:sz w:val="22"/>
        <w:szCs w:val="22"/>
        <w:lang w:eastAsia="es-CO"/>
      </w:rPr>
      <w:t xml:space="preserve">Por medio de la cual se </w:t>
    </w:r>
    <w:r w:rsidR="00EE14A5">
      <w:rPr>
        <w:rFonts w:cs="Arial"/>
        <w:b/>
        <w:bCs/>
        <w:i/>
        <w:iCs/>
        <w:sz w:val="22"/>
        <w:szCs w:val="22"/>
        <w:lang w:eastAsia="es-CO"/>
      </w:rPr>
      <w:t xml:space="preserve">modifica </w:t>
    </w:r>
    <w:r w:rsidR="00523F7B">
      <w:rPr>
        <w:rFonts w:cs="Arial"/>
        <w:b/>
        <w:bCs/>
        <w:i/>
        <w:iCs/>
        <w:sz w:val="22"/>
        <w:szCs w:val="22"/>
        <w:lang w:eastAsia="es-CO"/>
      </w:rPr>
      <w:t xml:space="preserve">los artículos 9 y 18 de </w:t>
    </w:r>
    <w:r w:rsidR="00EE14A5">
      <w:rPr>
        <w:rFonts w:cs="Arial"/>
        <w:b/>
        <w:bCs/>
        <w:i/>
        <w:iCs/>
        <w:sz w:val="22"/>
        <w:szCs w:val="22"/>
        <w:lang w:eastAsia="es-CO"/>
      </w:rPr>
      <w:t xml:space="preserve">la Resolución 1139 de 2022 a través de la cual </w:t>
    </w:r>
    <w:r w:rsidR="003B0CDF">
      <w:rPr>
        <w:rFonts w:cs="Arial"/>
        <w:b/>
        <w:bCs/>
        <w:i/>
        <w:iCs/>
        <w:sz w:val="22"/>
        <w:szCs w:val="22"/>
        <w:lang w:eastAsia="es-CO"/>
      </w:rPr>
      <w:t>reglament</w:t>
    </w:r>
    <w:r w:rsidR="00EE14A5">
      <w:rPr>
        <w:rFonts w:cs="Arial"/>
        <w:b/>
        <w:bCs/>
        <w:i/>
        <w:iCs/>
        <w:sz w:val="22"/>
        <w:szCs w:val="22"/>
        <w:lang w:eastAsia="es-CO"/>
      </w:rPr>
      <w:t>ó</w:t>
    </w:r>
    <w:r w:rsidR="003B0CDF">
      <w:rPr>
        <w:rFonts w:cs="Arial"/>
        <w:b/>
        <w:bCs/>
        <w:i/>
        <w:iCs/>
        <w:sz w:val="22"/>
        <w:szCs w:val="22"/>
        <w:lang w:eastAsia="es-CO"/>
      </w:rPr>
      <w:t xml:space="preserve"> el proceso de reasentamiento de hogares localizados en zonas de alto riesgo no mitigable del D.C. o las ordenadas mediante sentencias judiciales o actos administrativos</w:t>
    </w:r>
    <w:r>
      <w:rPr>
        <w:rFonts w:cs="Arial"/>
        <w:b/>
        <w:bCs/>
        <w:i/>
        <w:iCs/>
        <w:sz w:val="22"/>
        <w:szCs w:val="22"/>
        <w:lang w:eastAsia="es-CO"/>
      </w:rPr>
      <w:t>”</w:t>
    </w:r>
  </w:p>
  <w:p w14:paraId="5A445249" w14:textId="77777777" w:rsidR="00794517" w:rsidRDefault="007945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1B16"/>
    <w:multiLevelType w:val="hybridMultilevel"/>
    <w:tmpl w:val="ADF29762"/>
    <w:lvl w:ilvl="0" w:tplc="11F8CE60">
      <w:start w:val="1"/>
      <w:numFmt w:val="decimal"/>
      <w:lvlText w:val="%1-"/>
      <w:lvlJc w:val="left"/>
      <w:pPr>
        <w:ind w:left="786" w:hanging="360"/>
      </w:pPr>
      <w:rPr>
        <w:b/>
        <w:i w:val="0"/>
      </w:rPr>
    </w:lvl>
    <w:lvl w:ilvl="1" w:tplc="CC6E438E">
      <w:start w:val="1"/>
      <w:numFmt w:val="lowerLetter"/>
      <w:lvlText w:val="%2."/>
      <w:lvlJc w:val="left"/>
      <w:pPr>
        <w:ind w:left="1506" w:hanging="360"/>
      </w:pPr>
    </w:lvl>
    <w:lvl w:ilvl="2" w:tplc="33B89B3C">
      <w:start w:val="1"/>
      <w:numFmt w:val="lowerRoman"/>
      <w:lvlText w:val="%3."/>
      <w:lvlJc w:val="right"/>
      <w:pPr>
        <w:ind w:left="2226" w:hanging="180"/>
      </w:pPr>
    </w:lvl>
    <w:lvl w:ilvl="3" w:tplc="E5A21F18">
      <w:start w:val="1"/>
      <w:numFmt w:val="decimal"/>
      <w:lvlText w:val="%4."/>
      <w:lvlJc w:val="left"/>
      <w:pPr>
        <w:ind w:left="2946" w:hanging="360"/>
      </w:pPr>
    </w:lvl>
    <w:lvl w:ilvl="4" w:tplc="636E024A">
      <w:start w:val="1"/>
      <w:numFmt w:val="lowerLetter"/>
      <w:lvlText w:val="%5."/>
      <w:lvlJc w:val="left"/>
      <w:pPr>
        <w:ind w:left="3666" w:hanging="360"/>
      </w:pPr>
    </w:lvl>
    <w:lvl w:ilvl="5" w:tplc="35AC580E">
      <w:start w:val="1"/>
      <w:numFmt w:val="lowerRoman"/>
      <w:lvlText w:val="%6."/>
      <w:lvlJc w:val="right"/>
      <w:pPr>
        <w:ind w:left="4386" w:hanging="180"/>
      </w:pPr>
    </w:lvl>
    <w:lvl w:ilvl="6" w:tplc="918C4C44">
      <w:start w:val="1"/>
      <w:numFmt w:val="decimal"/>
      <w:lvlText w:val="%7."/>
      <w:lvlJc w:val="left"/>
      <w:pPr>
        <w:ind w:left="5106" w:hanging="360"/>
      </w:pPr>
    </w:lvl>
    <w:lvl w:ilvl="7" w:tplc="363E7056">
      <w:start w:val="1"/>
      <w:numFmt w:val="lowerLetter"/>
      <w:lvlText w:val="%8."/>
      <w:lvlJc w:val="left"/>
      <w:pPr>
        <w:ind w:left="5826" w:hanging="360"/>
      </w:pPr>
    </w:lvl>
    <w:lvl w:ilvl="8" w:tplc="252201A8">
      <w:start w:val="1"/>
      <w:numFmt w:val="lowerRoman"/>
      <w:lvlText w:val="%9."/>
      <w:lvlJc w:val="right"/>
      <w:pPr>
        <w:ind w:left="6546" w:hanging="180"/>
      </w:pPr>
    </w:lvl>
  </w:abstractNum>
  <w:abstractNum w:abstractNumId="1" w15:restartNumberingAfterBreak="0">
    <w:nsid w:val="42352E22"/>
    <w:multiLevelType w:val="hybridMultilevel"/>
    <w:tmpl w:val="5EBE2C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3445719"/>
    <w:multiLevelType w:val="hybridMultilevel"/>
    <w:tmpl w:val="A32EC8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4606973"/>
    <w:multiLevelType w:val="hybridMultilevel"/>
    <w:tmpl w:val="834C5A58"/>
    <w:lvl w:ilvl="0" w:tplc="3D5A1AB6">
      <w:start w:val="1"/>
      <w:numFmt w:val="decimal"/>
      <w:lvlText w:val="%1."/>
      <w:lvlJc w:val="left"/>
      <w:pPr>
        <w:ind w:left="720" w:hanging="360"/>
      </w:pPr>
      <w:rPr>
        <w:rFonts w:hint="default"/>
      </w:rPr>
    </w:lvl>
    <w:lvl w:ilvl="1" w:tplc="27984F34">
      <w:start w:val="1"/>
      <w:numFmt w:val="lowerLetter"/>
      <w:lvlText w:val="%2."/>
      <w:lvlJc w:val="left"/>
      <w:pPr>
        <w:ind w:left="1440" w:hanging="360"/>
      </w:pPr>
    </w:lvl>
    <w:lvl w:ilvl="2" w:tplc="EFB6B7FC">
      <w:start w:val="1"/>
      <w:numFmt w:val="lowerRoman"/>
      <w:lvlText w:val="%3."/>
      <w:lvlJc w:val="right"/>
      <w:pPr>
        <w:ind w:left="2160" w:hanging="180"/>
      </w:pPr>
    </w:lvl>
    <w:lvl w:ilvl="3" w:tplc="D460E8C0">
      <w:start w:val="1"/>
      <w:numFmt w:val="decimal"/>
      <w:lvlText w:val="%4."/>
      <w:lvlJc w:val="left"/>
      <w:pPr>
        <w:ind w:left="2880" w:hanging="360"/>
      </w:pPr>
    </w:lvl>
    <w:lvl w:ilvl="4" w:tplc="A6A0F7FC">
      <w:start w:val="1"/>
      <w:numFmt w:val="lowerLetter"/>
      <w:lvlText w:val="%5."/>
      <w:lvlJc w:val="left"/>
      <w:pPr>
        <w:ind w:left="3600" w:hanging="360"/>
      </w:pPr>
    </w:lvl>
    <w:lvl w:ilvl="5" w:tplc="43BE535E">
      <w:start w:val="1"/>
      <w:numFmt w:val="lowerRoman"/>
      <w:lvlText w:val="%6."/>
      <w:lvlJc w:val="right"/>
      <w:pPr>
        <w:ind w:left="4320" w:hanging="180"/>
      </w:pPr>
    </w:lvl>
    <w:lvl w:ilvl="6" w:tplc="9378E348">
      <w:start w:val="1"/>
      <w:numFmt w:val="decimal"/>
      <w:lvlText w:val="%7."/>
      <w:lvlJc w:val="left"/>
      <w:pPr>
        <w:ind w:left="5040" w:hanging="360"/>
      </w:pPr>
    </w:lvl>
    <w:lvl w:ilvl="7" w:tplc="EE90BB48">
      <w:start w:val="1"/>
      <w:numFmt w:val="lowerLetter"/>
      <w:lvlText w:val="%8."/>
      <w:lvlJc w:val="left"/>
      <w:pPr>
        <w:ind w:left="5760" w:hanging="360"/>
      </w:pPr>
    </w:lvl>
    <w:lvl w:ilvl="8" w:tplc="661EF98A">
      <w:start w:val="1"/>
      <w:numFmt w:val="lowerRoman"/>
      <w:lvlText w:val="%9."/>
      <w:lvlJc w:val="right"/>
      <w:pPr>
        <w:ind w:left="6480" w:hanging="180"/>
      </w:p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19"/>
    <w:rsid w:val="000071BF"/>
    <w:rsid w:val="000173F1"/>
    <w:rsid w:val="00020299"/>
    <w:rsid w:val="000234DB"/>
    <w:rsid w:val="000268B1"/>
    <w:rsid w:val="00033313"/>
    <w:rsid w:val="000560DB"/>
    <w:rsid w:val="000743CC"/>
    <w:rsid w:val="00083C30"/>
    <w:rsid w:val="0008417C"/>
    <w:rsid w:val="000904E8"/>
    <w:rsid w:val="000B6A6F"/>
    <w:rsid w:val="000C449C"/>
    <w:rsid w:val="000D4989"/>
    <w:rsid w:val="000E7BB1"/>
    <w:rsid w:val="000F45E2"/>
    <w:rsid w:val="0012294E"/>
    <w:rsid w:val="00142163"/>
    <w:rsid w:val="00160C9C"/>
    <w:rsid w:val="00165ABC"/>
    <w:rsid w:val="00166321"/>
    <w:rsid w:val="001A27BC"/>
    <w:rsid w:val="001F589B"/>
    <w:rsid w:val="00203F1C"/>
    <w:rsid w:val="00204616"/>
    <w:rsid w:val="00206140"/>
    <w:rsid w:val="0022196F"/>
    <w:rsid w:val="0025785E"/>
    <w:rsid w:val="002A78E7"/>
    <w:rsid w:val="002C1EBD"/>
    <w:rsid w:val="002C74DF"/>
    <w:rsid w:val="002D0341"/>
    <w:rsid w:val="002E11A2"/>
    <w:rsid w:val="0030051E"/>
    <w:rsid w:val="00302007"/>
    <w:rsid w:val="00304F24"/>
    <w:rsid w:val="00336F22"/>
    <w:rsid w:val="00343632"/>
    <w:rsid w:val="003436C3"/>
    <w:rsid w:val="003A015C"/>
    <w:rsid w:val="003B0CDF"/>
    <w:rsid w:val="003B70A4"/>
    <w:rsid w:val="003D5DE5"/>
    <w:rsid w:val="003E7F5D"/>
    <w:rsid w:val="003F337A"/>
    <w:rsid w:val="003F4042"/>
    <w:rsid w:val="0041099B"/>
    <w:rsid w:val="00422339"/>
    <w:rsid w:val="00443873"/>
    <w:rsid w:val="00450A98"/>
    <w:rsid w:val="00460898"/>
    <w:rsid w:val="004615AA"/>
    <w:rsid w:val="0046275B"/>
    <w:rsid w:val="00474953"/>
    <w:rsid w:val="00483D4E"/>
    <w:rsid w:val="004C3707"/>
    <w:rsid w:val="004C77E1"/>
    <w:rsid w:val="004E7432"/>
    <w:rsid w:val="00506CA6"/>
    <w:rsid w:val="00523F7B"/>
    <w:rsid w:val="0055134D"/>
    <w:rsid w:val="005544C6"/>
    <w:rsid w:val="00564DA3"/>
    <w:rsid w:val="0057209A"/>
    <w:rsid w:val="00583640"/>
    <w:rsid w:val="00583D6B"/>
    <w:rsid w:val="005C086C"/>
    <w:rsid w:val="005D158B"/>
    <w:rsid w:val="005E59DB"/>
    <w:rsid w:val="00604F0C"/>
    <w:rsid w:val="00630818"/>
    <w:rsid w:val="00630FC1"/>
    <w:rsid w:val="006364F3"/>
    <w:rsid w:val="00682600"/>
    <w:rsid w:val="00683454"/>
    <w:rsid w:val="00693D10"/>
    <w:rsid w:val="00694047"/>
    <w:rsid w:val="006947BE"/>
    <w:rsid w:val="006A19CE"/>
    <w:rsid w:val="006D229E"/>
    <w:rsid w:val="006F447B"/>
    <w:rsid w:val="00712740"/>
    <w:rsid w:val="007353C9"/>
    <w:rsid w:val="007463CE"/>
    <w:rsid w:val="00755365"/>
    <w:rsid w:val="00786D7E"/>
    <w:rsid w:val="00794517"/>
    <w:rsid w:val="007A606C"/>
    <w:rsid w:val="0080026F"/>
    <w:rsid w:val="00801F36"/>
    <w:rsid w:val="0081443E"/>
    <w:rsid w:val="00815F10"/>
    <w:rsid w:val="0083107D"/>
    <w:rsid w:val="00837A9E"/>
    <w:rsid w:val="00863958"/>
    <w:rsid w:val="00865B0C"/>
    <w:rsid w:val="008701B9"/>
    <w:rsid w:val="00874F10"/>
    <w:rsid w:val="00876412"/>
    <w:rsid w:val="008A654B"/>
    <w:rsid w:val="008B4FC8"/>
    <w:rsid w:val="008C0119"/>
    <w:rsid w:val="008C03D8"/>
    <w:rsid w:val="008C43FE"/>
    <w:rsid w:val="008D63D3"/>
    <w:rsid w:val="008E645F"/>
    <w:rsid w:val="008F6E95"/>
    <w:rsid w:val="00914C02"/>
    <w:rsid w:val="00930580"/>
    <w:rsid w:val="00943D75"/>
    <w:rsid w:val="00953750"/>
    <w:rsid w:val="00966C58"/>
    <w:rsid w:val="0097204B"/>
    <w:rsid w:val="00977E36"/>
    <w:rsid w:val="009C3C59"/>
    <w:rsid w:val="009C7699"/>
    <w:rsid w:val="009E4898"/>
    <w:rsid w:val="009F210A"/>
    <w:rsid w:val="009F568B"/>
    <w:rsid w:val="009F6067"/>
    <w:rsid w:val="00A233D7"/>
    <w:rsid w:val="00A24F57"/>
    <w:rsid w:val="00A34472"/>
    <w:rsid w:val="00A46DFA"/>
    <w:rsid w:val="00AA0CD6"/>
    <w:rsid w:val="00AB647F"/>
    <w:rsid w:val="00AD2922"/>
    <w:rsid w:val="00AE5971"/>
    <w:rsid w:val="00AF152F"/>
    <w:rsid w:val="00B0237A"/>
    <w:rsid w:val="00B1605B"/>
    <w:rsid w:val="00B24C4A"/>
    <w:rsid w:val="00B40E1A"/>
    <w:rsid w:val="00B52A54"/>
    <w:rsid w:val="00B638E2"/>
    <w:rsid w:val="00B65D7E"/>
    <w:rsid w:val="00B66B0D"/>
    <w:rsid w:val="00B75B6E"/>
    <w:rsid w:val="00B84393"/>
    <w:rsid w:val="00BA157C"/>
    <w:rsid w:val="00BA65FF"/>
    <w:rsid w:val="00BC37AF"/>
    <w:rsid w:val="00BD0032"/>
    <w:rsid w:val="00BD05F0"/>
    <w:rsid w:val="00BE1C1E"/>
    <w:rsid w:val="00BE33F6"/>
    <w:rsid w:val="00BE5C5B"/>
    <w:rsid w:val="00C00747"/>
    <w:rsid w:val="00C30D30"/>
    <w:rsid w:val="00C4168D"/>
    <w:rsid w:val="00C41D6D"/>
    <w:rsid w:val="00C47865"/>
    <w:rsid w:val="00C8390B"/>
    <w:rsid w:val="00C876A6"/>
    <w:rsid w:val="00CA36CC"/>
    <w:rsid w:val="00CA7E68"/>
    <w:rsid w:val="00CC74EB"/>
    <w:rsid w:val="00D07B3F"/>
    <w:rsid w:val="00D1289E"/>
    <w:rsid w:val="00D42565"/>
    <w:rsid w:val="00D64797"/>
    <w:rsid w:val="00D66530"/>
    <w:rsid w:val="00D84A24"/>
    <w:rsid w:val="00D95266"/>
    <w:rsid w:val="00DA06DA"/>
    <w:rsid w:val="00DA5156"/>
    <w:rsid w:val="00DB3C53"/>
    <w:rsid w:val="00DD0953"/>
    <w:rsid w:val="00DD4946"/>
    <w:rsid w:val="00E14B77"/>
    <w:rsid w:val="00E17A33"/>
    <w:rsid w:val="00E23DF2"/>
    <w:rsid w:val="00E2732A"/>
    <w:rsid w:val="00E33175"/>
    <w:rsid w:val="00E3405E"/>
    <w:rsid w:val="00E47B54"/>
    <w:rsid w:val="00E5565E"/>
    <w:rsid w:val="00E8797A"/>
    <w:rsid w:val="00EB7801"/>
    <w:rsid w:val="00EC7384"/>
    <w:rsid w:val="00EE14A5"/>
    <w:rsid w:val="00EE50ED"/>
    <w:rsid w:val="00F030CF"/>
    <w:rsid w:val="00F34AF0"/>
    <w:rsid w:val="00F354DA"/>
    <w:rsid w:val="00F44D2E"/>
    <w:rsid w:val="00F46544"/>
    <w:rsid w:val="00F613E3"/>
    <w:rsid w:val="00F75B9E"/>
    <w:rsid w:val="00F81196"/>
    <w:rsid w:val="00F82AA9"/>
    <w:rsid w:val="00F93C82"/>
    <w:rsid w:val="00FA08F3"/>
    <w:rsid w:val="00FA3D47"/>
    <w:rsid w:val="00FB139E"/>
    <w:rsid w:val="00FD5609"/>
    <w:rsid w:val="00FE2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5ADCF"/>
  <w15:docId w15:val="{75DF2467-A9C0-4C7A-ACEA-B02DF390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pPr>
      <w:keepNext/>
      <w:keepLines/>
      <w:spacing w:before="480" w:after="200"/>
      <w:outlineLvl w:val="0"/>
    </w:pPr>
    <w:rPr>
      <w:rFonts w:eastAsia="Arial" w:cs="Arial"/>
      <w:sz w:val="40"/>
      <w:szCs w:val="40"/>
    </w:rPr>
  </w:style>
  <w:style w:type="paragraph" w:styleId="Ttulo2">
    <w:name w:val="heading 2"/>
    <w:basedOn w:val="Normal"/>
    <w:next w:val="Normal"/>
    <w:link w:val="Ttulo2Car"/>
    <w:uiPriority w:val="9"/>
    <w:unhideWhenUsed/>
    <w:qFormat/>
    <w:pPr>
      <w:keepNext/>
      <w:keepLines/>
      <w:spacing w:before="360" w:after="200"/>
      <w:outlineLvl w:val="1"/>
    </w:pPr>
    <w:rPr>
      <w:rFonts w:eastAsia="Arial" w:cs="Arial"/>
      <w:sz w:val="34"/>
    </w:rPr>
  </w:style>
  <w:style w:type="paragraph" w:styleId="Ttulo3">
    <w:name w:val="heading 3"/>
    <w:basedOn w:val="Normal"/>
    <w:next w:val="Normal"/>
    <w:link w:val="Ttulo3Car"/>
    <w:uiPriority w:val="9"/>
    <w:unhideWhenUsed/>
    <w:qFormat/>
    <w:pPr>
      <w:keepNext/>
      <w:keepLines/>
      <w:spacing w:before="320" w:after="200"/>
      <w:outlineLvl w:val="2"/>
    </w:pPr>
    <w:rPr>
      <w:rFonts w:eastAsia="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eastAsia="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eastAsia="Arial" w:cs="Arial"/>
      <w:b/>
      <w:bCs/>
    </w:rPr>
  </w:style>
  <w:style w:type="paragraph" w:styleId="Ttulo6">
    <w:name w:val="heading 6"/>
    <w:basedOn w:val="Normal"/>
    <w:next w:val="Normal"/>
    <w:link w:val="Ttulo6Car"/>
    <w:uiPriority w:val="9"/>
    <w:unhideWhenUsed/>
    <w:qFormat/>
    <w:pPr>
      <w:keepNext/>
      <w:keepLines/>
      <w:spacing w:before="320" w:after="200"/>
      <w:outlineLvl w:val="5"/>
    </w:pPr>
    <w:rPr>
      <w:rFonts w:eastAsia="Arial" w:cs="Arial"/>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de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de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ade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ade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eastAsia="es-CO"/>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eastAsia="es-C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CO"/>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CO"/>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CO"/>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CO"/>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CO"/>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CO"/>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styleId="Piedepgina">
    <w:name w:val="footer"/>
    <w:basedOn w:val="Normal"/>
    <w:link w:val="PiedepginaCar"/>
    <w:uiPriority w:val="99"/>
    <w:unhideWhenUsed/>
    <w:pPr>
      <w:tabs>
        <w:tab w:val="center" w:pos="4419"/>
        <w:tab w:val="right" w:pos="8838"/>
      </w:tabs>
      <w:jc w:val="left"/>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unhideWhenUsed/>
    <w:pPr>
      <w:spacing w:before="100" w:beforeAutospacing="1" w:after="100" w:afterAutospacing="1"/>
      <w:jc w:val="left"/>
    </w:pPr>
    <w:rPr>
      <w:rFonts w:ascii="Times New Roman" w:hAnsi="Times New Roman"/>
      <w:lang w:val="es-CO" w:eastAsia="es-CO"/>
    </w:rPr>
  </w:style>
  <w:style w:type="paragraph" w:styleId="Ttulo">
    <w:name w:val="Title"/>
    <w:basedOn w:val="Normal"/>
    <w:link w:val="TtuloCar"/>
    <w:uiPriority w:val="99"/>
    <w:qFormat/>
    <w:pPr>
      <w:jc w:val="center"/>
    </w:pPr>
    <w:rPr>
      <w:rFonts w:ascii="Bookman Old Style" w:eastAsia="Calibri" w:hAnsi="Bookman Old Style"/>
      <w:b/>
      <w:bCs/>
      <w:i/>
      <w:iCs/>
      <w:lang w:val="es-CO"/>
    </w:rPr>
  </w:style>
  <w:style w:type="character" w:customStyle="1" w:styleId="TtuloCar">
    <w:name w:val="Título Car"/>
    <w:basedOn w:val="Fuentedeprrafopredeter"/>
    <w:link w:val="Ttulo"/>
    <w:uiPriority w:val="99"/>
    <w:rPr>
      <w:rFonts w:ascii="Bookman Old Style" w:hAnsi="Bookman Old Style" w:cs="Times New Roman"/>
      <w:b/>
      <w:bCs/>
      <w:i/>
      <w:iCs/>
      <w:sz w:val="24"/>
      <w:szCs w:val="24"/>
      <w:lang w:eastAsia="es-ES"/>
    </w:rPr>
  </w:style>
  <w:style w:type="character" w:styleId="nfasissutil">
    <w:name w:val="Subtle Emphasis"/>
    <w:basedOn w:val="Fuentedeprrafopredeter"/>
    <w:uiPriority w:val="19"/>
    <w:qFormat/>
    <w:rPr>
      <w:i/>
      <w:iCs/>
      <w:color w:val="808080"/>
    </w:rPr>
  </w:style>
  <w:style w:type="character" w:customStyle="1" w:styleId="apple-converted-space">
    <w:name w:val="apple-converted-space"/>
    <w:basedOn w:val="Fuentedeprrafopredete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Pr>
      <w:color w:val="0563C1" w:themeColor="hyperlink"/>
      <w:u w:val="single"/>
    </w:rPr>
  </w:style>
  <w:style w:type="paragraph" w:styleId="Subttulo">
    <w:name w:val="Subtitle"/>
    <w:basedOn w:val="Normal"/>
    <w:next w:val="Normal"/>
    <w:link w:val="SubttuloCar"/>
    <w:uiPriority w:val="11"/>
    <w:qFormat/>
    <w:pPr>
      <w:numPr>
        <w:ilvl w:val="1"/>
      </w:numPr>
    </w:pPr>
    <w:rPr>
      <w:rFonts w:ascii="Calibri Light" w:eastAsia="Calibri Light" w:hAnsi="Calibri Light" w:cs="Calibri Light"/>
      <w:i/>
      <w:iCs/>
      <w:color w:val="5B9BD5" w:themeColor="accent1"/>
      <w:spacing w:val="15"/>
    </w:rPr>
  </w:style>
  <w:style w:type="character" w:customStyle="1" w:styleId="SubttuloCar">
    <w:name w:val="Subtítulo Car"/>
    <w:basedOn w:val="Fuentedeprrafopredeter"/>
    <w:link w:val="Subttulo"/>
    <w:uiPriority w:val="11"/>
    <w:rPr>
      <w:rFonts w:ascii="Calibri Light" w:eastAsia="Calibri Light" w:hAnsi="Calibri Light" w:cs="Calibri Light"/>
      <w:i/>
      <w:iCs/>
      <w:color w:val="5B9BD5" w:themeColor="accent1"/>
      <w:spacing w:val="15"/>
      <w:sz w:val="24"/>
      <w:szCs w:val="24"/>
      <w:lang w:val="es-ES" w:eastAsia="es-ES"/>
    </w:rPr>
  </w:style>
  <w:style w:type="paragraph" w:styleId="Prrafodelista">
    <w:name w:val="List Paragraph"/>
    <w:basedOn w:val="Normal"/>
    <w:uiPriority w:val="34"/>
    <w:qFormat/>
    <w:pPr>
      <w:ind w:left="720"/>
      <w:contextualSpacing/>
    </w:pPr>
  </w:style>
  <w:style w:type="character" w:styleId="Nmerodepgina">
    <w:name w:val="page number"/>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Sinespaciado">
    <w:name w:val="No Spacing"/>
    <w:uiPriority w:val="1"/>
    <w:qFormat/>
    <w:pPr>
      <w:spacing w:after="0" w:line="240" w:lineRule="auto"/>
      <w:jc w:val="both"/>
    </w:pPr>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Arial" w:eastAsia="Times New Roman" w:hAnsi="Arial" w:cs="Times New Roman"/>
      <w:b/>
      <w:bCs/>
      <w:sz w:val="20"/>
      <w:szCs w:val="20"/>
      <w:lang w:val="es-ES" w:eastAsia="es-ES"/>
    </w:rPr>
  </w:style>
  <w:style w:type="character" w:customStyle="1" w:styleId="1645">
    <w:name w:val="1645"/>
    <w:aliases w:val="bqiaagaaeyqcaaagiaiaaaotbqaabaefaaaaaaaaaaaaaaaaaaaaaaaaaaaaaaaaaaaaaaaaaaaaaaaaaaaaaaaaaaaaaaaaaaaaaaaaaaaaaaaaaaaaaaaaaaaaaaaaaaaaaaaaaaaaaaaaaaaaaaaaaaaaaaaaaaaaaaaaaaaaaaaaaaaaaaaaaaaaaaaaaaaaaaaaaaaaaaaaaaaaaaaaaaaaaaaaaaaaaaaa"/>
    <w:basedOn w:val="Fuentedeprrafopredeter"/>
    <w:rsid w:val="00AF152F"/>
  </w:style>
  <w:style w:type="character" w:customStyle="1" w:styleId="2490">
    <w:name w:val="2490"/>
    <w:aliases w:val="bqiaagaaeyqcaaagiaiaaapgcaaabe4iaaaaaaaaaaaaaaaaaaaaaaaaaaaaaaaaaaaaaaaaaaaaaaaaaaaaaaaaaaaaaaaaaaaaaaaaaaaaaaaaaaaaaaaaaaaaaaaaaaaaaaaaaaaaaaaaaaaaaaaaaaaaaaaaaaaaaaaaaaaaaaaaaaaaaaaaaaaaaaaaaaaaaaaaaaaaaaaaaaaaaaaaaaaaaaaaaaaaaaaa"/>
    <w:basedOn w:val="Fuentedeprrafopredeter"/>
    <w:rsid w:val="00AF152F"/>
  </w:style>
  <w:style w:type="paragraph" w:customStyle="1" w:styleId="docdata">
    <w:name w:val="docdata"/>
    <w:aliases w:val="docy,v5,3735,bqiaagaaeyqcaaagiaiaaao9dqaabcsnaaaaaaaaaaaaaaaaaaaaaaaaaaaaaaaaaaaaaaaaaaaaaaaaaaaaaaaaaaaaaaaaaaaaaaaaaaaaaaaaaaaaaaaaaaaaaaaaaaaaaaaaaaaaaaaaaaaaaaaaaaaaaaaaaaaaaaaaaaaaaaaaaaaaaaaaaaaaaaaaaaaaaaaaaaaaaaaaaaaaaaaaaaaaaaaaaaaaaaaa"/>
    <w:basedOn w:val="Normal"/>
    <w:rsid w:val="00E3405E"/>
    <w:pPr>
      <w:spacing w:before="100" w:beforeAutospacing="1" w:after="100" w:afterAutospacing="1"/>
      <w:jc w:val="left"/>
    </w:pPr>
    <w:rPr>
      <w:rFonts w:ascii="Times New Roman" w:hAnsi="Times New Roman"/>
      <w:lang w:val="es-CO" w:eastAsia="es-CO"/>
    </w:rPr>
  </w:style>
  <w:style w:type="character" w:customStyle="1" w:styleId="1065">
    <w:name w:val="1065"/>
    <w:aliases w:val="bqiaagaaeyqcaaagiaiaaanpawaabv0daaaaaaaaaaaaaaaaaaaaaaaaaaaaaaaaaaaaaaaaaaaaaaaaaaaaaaaaaaaaaaaaaaaaaaaaaaaaaaaaaaaaaaaaaaaaaaaaaaaaaaaaaaaaaaaaaaaaaaaaaaaaaaaaaaaaaaaaaaaaaaaaaaaaaaaaaaaaaaaaaaaaaaaaaaaaaaaaaaaaaaaaaaaaaaaaaaaaaaaa"/>
    <w:basedOn w:val="Fuentedeprrafopredeter"/>
    <w:rsid w:val="00E3405E"/>
  </w:style>
  <w:style w:type="paragraph" w:styleId="Revisin">
    <w:name w:val="Revision"/>
    <w:hidden/>
    <w:uiPriority w:val="99"/>
    <w:semiHidden/>
    <w:rsid w:val="00914C02"/>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8950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Suarez Caro</dc:creator>
  <cp:lastModifiedBy>Andrea Carolina Betancourt Quiroga</cp:lastModifiedBy>
  <cp:revision>2</cp:revision>
  <dcterms:created xsi:type="dcterms:W3CDTF">2023-05-05T13:54:00Z</dcterms:created>
  <dcterms:modified xsi:type="dcterms:W3CDTF">2023-05-05T13:54:00Z</dcterms:modified>
</cp:coreProperties>
</file>