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1552E941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643D37">
        <w:rPr>
          <w:rFonts w:ascii="Arial" w:hAnsi="Arial" w:cs="Arial"/>
          <w:b/>
          <w:sz w:val="40"/>
          <w:szCs w:val="40"/>
        </w:rPr>
        <w:t>30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643D37">
        <w:rPr>
          <w:rFonts w:ascii="Arial" w:hAnsi="Arial" w:cs="Arial"/>
          <w:b/>
          <w:sz w:val="40"/>
          <w:szCs w:val="40"/>
        </w:rPr>
        <w:t>junio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4B598721" w:rsidR="005A48AC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643D37">
        <w:rPr>
          <w:rFonts w:ascii="Arial" w:hAnsi="Arial" w:cs="Arial"/>
          <w:b/>
          <w:sz w:val="40"/>
          <w:szCs w:val="40"/>
        </w:rPr>
        <w:t>7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643D37">
        <w:rPr>
          <w:rFonts w:ascii="Arial" w:hAnsi="Arial" w:cs="Arial"/>
          <w:b/>
          <w:sz w:val="40"/>
          <w:szCs w:val="40"/>
        </w:rPr>
        <w:t>jul</w:t>
      </w:r>
      <w:r w:rsidR="00025F99" w:rsidRPr="00BD280E">
        <w:rPr>
          <w:rFonts w:ascii="Arial" w:hAnsi="Arial" w:cs="Arial"/>
          <w:b/>
          <w:sz w:val="40"/>
          <w:szCs w:val="40"/>
        </w:rPr>
        <w:t>io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3DCB7BEA" w14:textId="32E3FF60" w:rsidR="002D2F6C" w:rsidRPr="00BD280E" w:rsidRDefault="00F86B1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r w:rsidR="002D2F6C" w:rsidRPr="00BD280E">
        <w:t>INTRODUCCIÓN</w:t>
      </w:r>
      <w:r w:rsidR="002D2F6C" w:rsidRPr="00BD280E">
        <w:tab/>
      </w:r>
      <w:r w:rsidR="002D2F6C" w:rsidRPr="00BD280E">
        <w:fldChar w:fldCharType="begin"/>
      </w:r>
      <w:r w:rsidR="002D2F6C" w:rsidRPr="00BD280E">
        <w:instrText xml:space="preserve"> PAGEREF _Toc452286751 \h </w:instrText>
      </w:r>
      <w:r w:rsidR="002D2F6C" w:rsidRPr="00BD280E">
        <w:fldChar w:fldCharType="separate"/>
      </w:r>
      <w:r w:rsidR="00B36193">
        <w:t>3</w:t>
      </w:r>
      <w:r w:rsidR="002D2F6C" w:rsidRPr="00BD280E">
        <w:fldChar w:fldCharType="end"/>
      </w:r>
    </w:p>
    <w:p w14:paraId="425D86D1" w14:textId="06BCF25B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1.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OBJETIVO Y ALCANCE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_Toc452286752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1909E35C" w14:textId="3512C71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2.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METODOLOGÍA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_Toc452286753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2B63F553" w14:textId="4A2B0312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3.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GESTIÓN DE LAS PQRSD RECIBIDAS EN </w:t>
      </w:r>
      <w:r w:rsidR="00643D37">
        <w:rPr>
          <w:rFonts w:cs="Arial"/>
          <w:noProof/>
          <w:lang w:val="es-CO"/>
        </w:rPr>
        <w:t>JUNIO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_Toc452286754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34C72DC5" w14:textId="76356C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Recibidas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4</w:t>
      </w:r>
      <w:r w:rsidRPr="00BD280E">
        <w:rPr>
          <w:lang w:val="es-CO"/>
        </w:rPr>
        <w:fldChar w:fldCharType="end"/>
      </w:r>
    </w:p>
    <w:p w14:paraId="5833B662" w14:textId="5703AAC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Canales de Interacción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_Toc452286756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5</w:t>
      </w:r>
      <w:r w:rsidRPr="00BD280E">
        <w:rPr>
          <w:lang w:val="es-CO"/>
        </w:rPr>
        <w:fldChar w:fldCharType="end"/>
      </w:r>
    </w:p>
    <w:p w14:paraId="52E8A2F2" w14:textId="4C68E4D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Tipologías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6</w:t>
      </w:r>
      <w:r w:rsidRPr="00BD280E">
        <w:rPr>
          <w:lang w:val="es-CO"/>
        </w:rPr>
        <w:fldChar w:fldCharType="end"/>
      </w:r>
    </w:p>
    <w:p w14:paraId="41BFF37B" w14:textId="35ED84C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3.4.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Subtemas Más Reiterados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7</w:t>
      </w:r>
      <w:r w:rsidRPr="00BD280E">
        <w:rPr>
          <w:lang w:val="es-CO"/>
        </w:rPr>
        <w:fldChar w:fldCharType="end"/>
      </w:r>
    </w:p>
    <w:p w14:paraId="7BECA027" w14:textId="7A142C2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3.5.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Trasladadas por No Competencia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3FC8FCA4" w14:textId="5CDAF6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color w:val="000000" w:themeColor="text1"/>
          <w:lang w:val="es-CO"/>
        </w:rPr>
        <w:t>3.6.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color w:val="000000" w:themeColor="text1"/>
          <w:lang w:val="es-CO"/>
        </w:rPr>
        <w:t>Subtema Veedurías Ciudadanas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_Toc452286760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1C90FED1" w14:textId="1A41175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3.7.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Localidad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_Toc452286761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018C463C" w14:textId="2ADE27E2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3.8.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Estrato Socioeconomico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_Toc452286762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7D6F2903" w14:textId="2AC534A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3.9.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 de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_Toc452286763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2C85414B" w14:textId="3253AE2E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3.10.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Calidad del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_Toc452286764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0F269A2A" w14:textId="79A9398D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Recomendaciones y Observaciones de la Ciudadanía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56F4EE69" w14:textId="02143417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4.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OPORTUNIDAD DE RESPUESTA A LAS PQRSD EN </w:t>
      </w:r>
      <w:r w:rsidR="00643D37">
        <w:rPr>
          <w:rFonts w:cs="Arial"/>
          <w:noProof/>
          <w:lang w:val="es-CO"/>
        </w:rPr>
        <w:t>JUNIO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_Toc452286766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11</w:t>
      </w:r>
      <w:r w:rsidRPr="00BD280E">
        <w:rPr>
          <w:noProof/>
          <w:lang w:val="es-CO"/>
        </w:rPr>
        <w:fldChar w:fldCharType="end"/>
      </w:r>
    </w:p>
    <w:p w14:paraId="0D6B11FB" w14:textId="30302661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PQRSD cerradas en el período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11</w:t>
      </w:r>
      <w:r w:rsidRPr="00BD280E">
        <w:rPr>
          <w:lang w:val="es-CO"/>
        </w:rPr>
        <w:fldChar w:fldCharType="end"/>
      </w:r>
    </w:p>
    <w:p w14:paraId="5F9D89DF" w14:textId="3E435873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Cálculo del Tiempo Promedio de Respuesta por Tipología y Dependencia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39BF18FD" w14:textId="2F16976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Respuestas con Cierre Inoportuno Vigencia 2020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732E67BE" w14:textId="15C180B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5.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CONCLUSIONES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_Toc452286770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18</w:t>
      </w:r>
      <w:r w:rsidRPr="00BD280E">
        <w:rPr>
          <w:noProof/>
          <w:lang w:val="es-CO"/>
        </w:rPr>
        <w:fldChar w:fldCharType="end"/>
      </w:r>
    </w:p>
    <w:p w14:paraId="326DB88C" w14:textId="602B72A9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452286751"/>
      <w:r w:rsidRPr="00BD280E">
        <w:rPr>
          <w:lang w:val="es-CO"/>
        </w:rPr>
        <w:t>INTRODUCCIÓN</w:t>
      </w:r>
      <w:bookmarkEnd w:id="3"/>
    </w:p>
    <w:p w14:paraId="6CFA9865" w14:textId="5EC47FD3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643D37">
        <w:t>junio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452286752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77777777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SDQS, por las diferentes dependencias responsables de la solución a las PQRSD</w:t>
      </w:r>
    </w:p>
    <w:p w14:paraId="13BF93D9" w14:textId="33EDCCC8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interpuestas en</w:t>
      </w:r>
      <w:r w:rsidR="00A52F49" w:rsidRPr="00BD280E">
        <w:t xml:space="preserve"> </w:t>
      </w:r>
      <w:r w:rsidR="006D6C1F">
        <w:t>junio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Pr="00BD280E">
        <w:t xml:space="preserve">, las cuales tienen vencimiento </w:t>
      </w:r>
      <w:r w:rsidR="00B85040" w:rsidRPr="00BD280E">
        <w:t>de L</w:t>
      </w:r>
      <w:r w:rsidR="000C6944" w:rsidRPr="00BD280E">
        <w:t>ey en este mes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452286753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44D6D182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643D37">
        <w:t>junio</w:t>
      </w:r>
      <w:r w:rsidR="00414CF3" w:rsidRPr="00BD280E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45DC8B51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14BCBFDF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452286754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643D37">
        <w:rPr>
          <w:rFonts w:cs="Arial"/>
          <w:szCs w:val="24"/>
          <w:lang w:val="es-CO"/>
        </w:rPr>
        <w:t>JUNIO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452286755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70440C82" w:rsidR="00120D0D" w:rsidRPr="00BD280E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643D37">
        <w:t>junio</w:t>
      </w:r>
      <w:r w:rsidR="0046088F" w:rsidRPr="00BD280E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643D37">
        <w:t>322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ingresadas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414CF3" w:rsidRPr="00BD280E">
        <w:t xml:space="preserve"> aumento</w:t>
      </w:r>
      <w:r w:rsidR="00B6301F" w:rsidRPr="00BD280E">
        <w:t xml:space="preserve"> </w:t>
      </w:r>
      <w:r w:rsidRPr="00BD280E">
        <w:t xml:space="preserve">en la recepción de PQRSD </w:t>
      </w:r>
      <w:r w:rsidR="003744AB" w:rsidRPr="00BD280E">
        <w:t xml:space="preserve">del </w:t>
      </w:r>
      <w:r w:rsidR="00AE3C24">
        <w:t>50,47</w:t>
      </w:r>
      <w:r w:rsidR="003744AB" w:rsidRPr="00BD280E">
        <w:t xml:space="preserve">%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884037">
        <w:t>mayo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643D37">
        <w:t>214</w:t>
      </w:r>
      <w:r w:rsidR="0046088F" w:rsidRPr="00BD280E">
        <w:t>)</w:t>
      </w:r>
      <w:r w:rsidR="000C6944" w:rsidRPr="00BD280E">
        <w:t xml:space="preserve">. </w:t>
      </w:r>
    </w:p>
    <w:p w14:paraId="69D72BB0" w14:textId="3B351CC2" w:rsidR="000F4DD0" w:rsidRPr="00BD280E" w:rsidRDefault="000F4DD0" w:rsidP="00262821">
      <w:pPr>
        <w:tabs>
          <w:tab w:val="left" w:pos="1514"/>
        </w:tabs>
        <w:spacing w:after="0" w:line="240" w:lineRule="auto"/>
        <w:jc w:val="both"/>
      </w:pPr>
      <w:r w:rsidRPr="00BD280E">
        <w:lastRenderedPageBreak/>
        <w:tab/>
      </w:r>
      <w:r w:rsidR="00413CDC">
        <w:rPr>
          <w:noProof/>
          <w:lang w:eastAsia="es-CO"/>
        </w:rPr>
        <w:drawing>
          <wp:inline distT="0" distB="0" distL="0" distR="0" wp14:anchorId="7F9D03B5" wp14:editId="45A430AA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351DCD25" w:rsidR="00120D0D" w:rsidRPr="00BD280E" w:rsidRDefault="00120D0D" w:rsidP="00262821">
      <w:pPr>
        <w:pStyle w:val="Textoindependiente"/>
        <w:jc w:val="both"/>
      </w:pPr>
      <w:r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452286756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06ED077D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0C6944" w:rsidRPr="00BD280E">
        <w:t>e-m</w:t>
      </w:r>
      <w:r w:rsidR="008F1FDE" w:rsidRPr="00BD280E">
        <w:t xml:space="preserve">ail </w:t>
      </w:r>
      <w:r w:rsidRPr="00BD280E">
        <w:t xml:space="preserve">con una participación del </w:t>
      </w:r>
      <w:r w:rsidR="00413CDC">
        <w:t>67</w:t>
      </w:r>
      <w:r w:rsidR="008776F7" w:rsidRPr="00BD280E">
        <w:t>,</w:t>
      </w:r>
      <w:r w:rsidR="00413CDC">
        <w:t>08</w:t>
      </w:r>
      <w:r w:rsidRPr="00BD280E">
        <w:t>% (</w:t>
      </w:r>
      <w:r w:rsidR="00413CDC">
        <w:t>216</w:t>
      </w:r>
      <w:r w:rsidRPr="00BD280E">
        <w:t>), el</w:t>
      </w:r>
      <w:r w:rsidR="00AE3C24">
        <w:t xml:space="preserve"> Escrito con 19,57</w:t>
      </w:r>
      <w:r w:rsidR="00413CDC">
        <w:t>% (63), Web 12,73% (41) y las Redes Sociales al igual que el Telefónico</w:t>
      </w:r>
      <w:r w:rsidR="00CD4CB0">
        <w:t xml:space="preserve"> cada uno aporta</w:t>
      </w:r>
      <w:r w:rsidR="00413CDC">
        <w:t xml:space="preserve"> el 0,31% (1)</w:t>
      </w:r>
    </w:p>
    <w:p w14:paraId="1EE71AC0" w14:textId="3EA3051C" w:rsidR="00120D0D" w:rsidRPr="00BD280E" w:rsidRDefault="00413CDC" w:rsidP="00262821">
      <w:pPr>
        <w:pStyle w:val="Textoindependiente"/>
        <w:jc w:val="both"/>
      </w:pPr>
      <w:r>
        <w:t xml:space="preserve"> </w:t>
      </w:r>
      <w:r w:rsidR="00120D0D" w:rsidRPr="00BD280E">
        <w:t xml:space="preserve"> </w:t>
      </w:r>
    </w:p>
    <w:p w14:paraId="22F9EC0D" w14:textId="7A8EBAE5" w:rsidR="00120D0D" w:rsidRPr="00BD280E" w:rsidRDefault="0004569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80E">
        <w:rPr>
          <w:rFonts w:ascii="Arial" w:hAnsi="Arial" w:cs="Arial"/>
          <w:color w:val="000000"/>
          <w:sz w:val="24"/>
          <w:szCs w:val="24"/>
        </w:rPr>
        <w:softHyphen/>
      </w:r>
      <w:bookmarkStart w:id="10" w:name="_GoBack"/>
      <w:bookmarkEnd w:id="10"/>
    </w:p>
    <w:p w14:paraId="68E18051" w14:textId="2EA230D2" w:rsidR="00885131" w:rsidRPr="00BD280E" w:rsidRDefault="00CD4CB0" w:rsidP="008A204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F37A97B" wp14:editId="356D8836">
            <wp:extent cx="4691063" cy="3181350"/>
            <wp:effectExtent l="0" t="0" r="1460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03E26565" w:rsidR="00120D0D" w:rsidRPr="00BD280E" w:rsidRDefault="000C69D2" w:rsidP="00262821">
      <w:pPr>
        <w:pStyle w:val="Textoindependiente"/>
        <w:jc w:val="both"/>
      </w:pPr>
      <w:r w:rsidRPr="00BD280E">
        <w:t>Fuente: SDQS</w:t>
      </w: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452286757"/>
      <w:r w:rsidRPr="00BD280E">
        <w:rPr>
          <w:rFonts w:cs="Arial"/>
          <w:szCs w:val="24"/>
          <w:lang w:val="es-CO"/>
        </w:rPr>
        <w:t>Tipologías</w:t>
      </w:r>
      <w:bookmarkEnd w:id="11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72DCAC48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CD4CB0" w:rsidRPr="00CD4CB0">
        <w:t>322</w:t>
      </w:r>
      <w:r w:rsidR="00AD6D30" w:rsidRPr="00CD4CB0">
        <w:t xml:space="preserve"> </w:t>
      </w:r>
      <w:r w:rsidRPr="00CD4CB0">
        <w:t xml:space="preserve">PQRSD recibidas en </w:t>
      </w:r>
      <w:r w:rsidR="00CD4CB0" w:rsidRPr="00CD4CB0">
        <w:t>junio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 w:rsidR="00CD4CB0" w:rsidRPr="00CD4CB0">
        <w:t>83</w:t>
      </w:r>
      <w:r w:rsidR="00A93FB3" w:rsidRPr="00CD4CB0">
        <w:t>,</w:t>
      </w:r>
      <w:r w:rsidR="00CD4CB0" w:rsidRPr="00CD4CB0">
        <w:t>22</w:t>
      </w:r>
      <w:r w:rsidRPr="00CD4CB0">
        <w:t>% (</w:t>
      </w:r>
      <w:r w:rsidR="00CD4CB0" w:rsidRPr="00CD4CB0">
        <w:t>268</w:t>
      </w:r>
      <w:r w:rsidRPr="00CD4CB0">
        <w:t>), seguido de</w:t>
      </w:r>
      <w:r w:rsidR="00665017">
        <w:t xml:space="preserve"> la Consulta</w:t>
      </w:r>
      <w:r w:rsidRPr="00CD4CB0">
        <w:t xml:space="preserve"> </w:t>
      </w:r>
      <w:r w:rsidR="00AD6D30" w:rsidRPr="00CD4CB0">
        <w:t xml:space="preserve">con </w:t>
      </w:r>
      <w:r w:rsidR="00665017">
        <w:t>5</w:t>
      </w:r>
      <w:r w:rsidR="00A93FB3" w:rsidRPr="00CD4CB0">
        <w:t>,</w:t>
      </w:r>
      <w:r w:rsidR="00665017">
        <w:t>27</w:t>
      </w:r>
      <w:r w:rsidRPr="00CD4CB0">
        <w:t>% (</w:t>
      </w:r>
      <w:r w:rsidR="00665017">
        <w:t>17</w:t>
      </w:r>
      <w:r w:rsidRPr="00CD4CB0">
        <w:t xml:space="preserve">) y </w:t>
      </w:r>
      <w:r w:rsidR="00665017">
        <w:t xml:space="preserve">el </w:t>
      </w:r>
      <w:r w:rsidR="00A93FB3" w:rsidRPr="00CD4CB0">
        <w:rPr>
          <w:iCs/>
        </w:rPr>
        <w:t>Derecho de Petición de Interés General</w:t>
      </w:r>
      <w:r w:rsidR="00A93FB3" w:rsidRPr="00CD4CB0">
        <w:t xml:space="preserve"> </w:t>
      </w:r>
      <w:r w:rsidRPr="00CD4CB0">
        <w:t xml:space="preserve">con un </w:t>
      </w:r>
      <w:r w:rsidR="00250BD8" w:rsidRPr="00CD4CB0">
        <w:t>3</w:t>
      </w:r>
      <w:r w:rsidR="00A93FB3" w:rsidRPr="00CD4CB0">
        <w:t>,</w:t>
      </w:r>
      <w:r w:rsidR="00665017">
        <w:t>41</w:t>
      </w:r>
      <w:r w:rsidRPr="00CD4CB0">
        <w:t>% (</w:t>
      </w:r>
      <w:r w:rsidR="00665017">
        <w:t>11</w:t>
      </w:r>
      <w:r w:rsidRPr="00CD4CB0">
        <w:t>).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6CBC7A56" w:rsidR="00D609DB" w:rsidRPr="00BD280E" w:rsidRDefault="00665017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5AE3599" wp14:editId="12DCCDC9">
            <wp:extent cx="5972175" cy="3832860"/>
            <wp:effectExtent l="0" t="0" r="9525" b="1524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6799800E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9C4B23" w:rsidRPr="00BD280E">
        <w:rPr>
          <w:lang w:eastAsia="es-CO"/>
        </w:rPr>
        <w:t xml:space="preserve">              </w:t>
      </w:r>
      <w:r w:rsidR="009A6BF3" w:rsidRPr="00BD280E">
        <w:rPr>
          <w:lang w:eastAsia="es-CO"/>
        </w:rPr>
        <w:t xml:space="preserve"> </w:t>
      </w:r>
      <w:r w:rsidR="00665017">
        <w:rPr>
          <w:lang w:eastAsia="es-CO"/>
        </w:rPr>
        <w:t>7</w:t>
      </w:r>
      <w:r w:rsidRPr="00BD280E">
        <w:rPr>
          <w:lang w:eastAsia="es-CO"/>
        </w:rPr>
        <w:tab/>
      </w:r>
    </w:p>
    <w:p w14:paraId="6927F734" w14:textId="4FE848A8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665017">
        <w:rPr>
          <w:lang w:eastAsia="es-CO"/>
        </w:rPr>
        <w:t xml:space="preserve"> 2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452286758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4E21C01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E0128D" w:rsidRPr="00BD280E">
        <w:t xml:space="preserve">Programa de Reasentamientos Humanos con un </w:t>
      </w:r>
      <w:r w:rsidR="00D631D6">
        <w:t>56</w:t>
      </w:r>
      <w:r w:rsidR="00342EB7" w:rsidRPr="00BD280E">
        <w:t>,</w:t>
      </w:r>
      <w:r w:rsidR="00D631D6">
        <w:t>72</w:t>
      </w:r>
      <w:r w:rsidR="00E0128D" w:rsidRPr="00BD280E">
        <w:t>% (</w:t>
      </w:r>
      <w:r w:rsidR="00D631D6">
        <w:t>1</w:t>
      </w:r>
      <w:r w:rsidR="00540062" w:rsidRPr="00BD280E">
        <w:t>35</w:t>
      </w:r>
      <w:r w:rsidR="00E0128D" w:rsidRPr="00BD280E">
        <w:t>)</w:t>
      </w:r>
      <w:r w:rsidR="003D1592" w:rsidRPr="00BD280E">
        <w:t xml:space="preserve"> y </w:t>
      </w:r>
      <w:r w:rsidR="00540062" w:rsidRPr="00BD280E">
        <w:t>Titulación Predial en Estratos 1 y 2</w:t>
      </w:r>
      <w:r w:rsidR="00D631D6">
        <w:t xml:space="preserve"> y Relocalización Transitoria de Familias Evacuadas por el IDIGER cada una </w:t>
      </w:r>
      <w:r w:rsidR="003D1592" w:rsidRPr="00BD280E">
        <w:t xml:space="preserve">con el </w:t>
      </w:r>
      <w:r w:rsidR="00D631D6">
        <w:t>12</w:t>
      </w:r>
      <w:r w:rsidR="003D1592" w:rsidRPr="00BD280E">
        <w:t>,</w:t>
      </w:r>
      <w:r w:rsidR="00D631D6">
        <w:t>60</w:t>
      </w:r>
      <w:r w:rsidR="003D1592" w:rsidRPr="00BD280E">
        <w:t>% (</w:t>
      </w:r>
      <w:r w:rsidR="00D631D6">
        <w:t>30</w:t>
      </w:r>
      <w:r w:rsidR="003D1592" w:rsidRPr="00BD280E">
        <w:t>).</w:t>
      </w:r>
      <w:r w:rsidR="00B23AFE" w:rsidRPr="00BD280E">
        <w:t xml:space="preserve"> </w:t>
      </w: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BD280E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687321D1" w:rsidR="00182746" w:rsidRPr="00BD280E" w:rsidRDefault="00665017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  <w:r w:rsidR="002E7960" w:rsidRPr="00BD280E">
              <w:rPr>
                <w:rFonts w:eastAsia="Times New Roman"/>
                <w:color w:val="000000"/>
                <w:lang w:eastAsia="es-CO"/>
              </w:rPr>
              <w:t>35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1859A9FB" w:rsidR="00182746" w:rsidRPr="00BD280E" w:rsidRDefault="00D631D6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56</w:t>
            </w:r>
            <w:r w:rsidR="00182746" w:rsidRPr="00BD280E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72</w:t>
            </w:r>
            <w:r w:rsidR="00182746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2BE08F8F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Titulación predial en estratos 1 y 2 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1F793CEA" w:rsidR="002E7960" w:rsidRPr="00BD280E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30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02C444FA" w:rsidR="002E7960" w:rsidRPr="00BD280E" w:rsidRDefault="00D631D6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2E7960" w:rsidRPr="00BD280E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60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79C60DA5" w:rsidR="002E7960" w:rsidRPr="00BD280E" w:rsidRDefault="00D631D6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30</w:t>
            </w:r>
          </w:p>
        </w:tc>
        <w:tc>
          <w:tcPr>
            <w:tcW w:w="1671" w:type="dxa"/>
            <w:noWrap/>
            <w:vAlign w:val="center"/>
          </w:tcPr>
          <w:p w14:paraId="5B03EF30" w14:textId="2240D989" w:rsidR="002E7960" w:rsidRPr="00BD280E" w:rsidRDefault="00D631D6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12,60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45D71D91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noWrap/>
            <w:vAlign w:val="center"/>
          </w:tcPr>
          <w:p w14:paraId="37E3598B" w14:textId="407495A2" w:rsidR="002E7960" w:rsidRPr="00BD280E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14</w:t>
            </w:r>
          </w:p>
        </w:tc>
        <w:tc>
          <w:tcPr>
            <w:tcW w:w="1671" w:type="dxa"/>
            <w:noWrap/>
            <w:vAlign w:val="center"/>
          </w:tcPr>
          <w:p w14:paraId="27EEFED7" w14:textId="7C6EC8F6" w:rsidR="002E7960" w:rsidRPr="00BD280E" w:rsidRDefault="00D631D6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5,88%</w:t>
            </w:r>
          </w:p>
        </w:tc>
      </w:tr>
      <w:tr w:rsidR="002E7960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3AE6D71A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Atención y Servicio a la Ciudadanía </w:t>
            </w:r>
          </w:p>
        </w:tc>
        <w:tc>
          <w:tcPr>
            <w:tcW w:w="1321" w:type="dxa"/>
            <w:noWrap/>
            <w:vAlign w:val="center"/>
          </w:tcPr>
          <w:p w14:paraId="5A72B01D" w14:textId="3FE0245D" w:rsidR="002E7960" w:rsidRPr="00BD280E" w:rsidRDefault="00D631D6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</w:t>
            </w:r>
          </w:p>
        </w:tc>
        <w:tc>
          <w:tcPr>
            <w:tcW w:w="1671" w:type="dxa"/>
            <w:noWrap/>
            <w:vAlign w:val="center"/>
          </w:tcPr>
          <w:p w14:paraId="7CDB27C4" w14:textId="1CE244BB" w:rsidR="002E7960" w:rsidRPr="00BD280E" w:rsidRDefault="00D631D6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5,04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189288A3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</w:p>
        </w:tc>
        <w:tc>
          <w:tcPr>
            <w:tcW w:w="1321" w:type="dxa"/>
            <w:noWrap/>
            <w:vAlign w:val="center"/>
          </w:tcPr>
          <w:p w14:paraId="3BEC35E4" w14:textId="310DBEBC" w:rsidR="002E7960" w:rsidRPr="00BD280E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671" w:type="dxa"/>
            <w:noWrap/>
            <w:vAlign w:val="center"/>
          </w:tcPr>
          <w:p w14:paraId="6FDC454A" w14:textId="4D8D6B9E" w:rsidR="002E7960" w:rsidRPr="00BD280E" w:rsidRDefault="000A294B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4,20%</w:t>
            </w:r>
          </w:p>
        </w:tc>
      </w:tr>
      <w:tr w:rsidR="002E7960" w:rsidRPr="00BD280E" w14:paraId="7C4253D1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57F6E374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7B5E7EDE" w14:textId="2E1DD425" w:rsidR="002E7960" w:rsidRPr="00BD280E" w:rsidRDefault="00D631D6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671" w:type="dxa"/>
            <w:noWrap/>
            <w:vAlign w:val="center"/>
          </w:tcPr>
          <w:p w14:paraId="7336114B" w14:textId="55EF755B" w:rsidR="002E7960" w:rsidRPr="00BD280E" w:rsidRDefault="000A294B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1,68%</w:t>
            </w:r>
          </w:p>
        </w:tc>
      </w:tr>
      <w:tr w:rsidR="002E7960" w:rsidRPr="00BD280E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351FCF0A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024FFD23" w14:textId="11F105F2" w:rsidR="002E7960" w:rsidRPr="00BD280E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51AED45F" w14:textId="60AD8F79" w:rsidR="002E7960" w:rsidRPr="00BD280E" w:rsidRDefault="000A294B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0,84%</w:t>
            </w:r>
          </w:p>
        </w:tc>
      </w:tr>
      <w:tr w:rsidR="002E7960" w:rsidRPr="00BD280E" w14:paraId="79D9D8CC" w14:textId="77777777" w:rsidTr="00A4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19E2B6B" w14:textId="322F4BAC" w:rsidR="002E7960" w:rsidRPr="00D631D6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D631D6">
              <w:rPr>
                <w:rFonts w:eastAsia="Times New Roman"/>
                <w:b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BF49A5D" w14:textId="77052750" w:rsidR="002E7960" w:rsidRPr="00D631D6" w:rsidRDefault="00D631D6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D631D6">
              <w:rPr>
                <w:rFonts w:eastAsia="Times New Roman"/>
                <w:bCs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31D2AA3E" w14:textId="5CBAB0F1" w:rsidR="002E7960" w:rsidRPr="000A294B" w:rsidRDefault="000A294B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0A294B">
              <w:rPr>
                <w:rFonts w:eastAsia="Times New Roman"/>
                <w:bCs/>
                <w:color w:val="000000"/>
                <w:lang w:eastAsia="es-CO"/>
              </w:rPr>
              <w:t>0,42</w:t>
            </w:r>
          </w:p>
        </w:tc>
      </w:tr>
      <w:tr w:rsidR="00D631D6" w:rsidRPr="00BD280E" w14:paraId="1BC8D040" w14:textId="77777777" w:rsidTr="00D631D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F3B7527" w14:textId="55389F80" w:rsidR="00D631D6" w:rsidRPr="00BD280E" w:rsidRDefault="00D631D6" w:rsidP="00AE3C24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270A63B6" w14:textId="558E267D" w:rsidR="00D631D6" w:rsidRPr="00D631D6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 w:rsidRPr="00D631D6">
              <w:rPr>
                <w:rFonts w:eastAsia="Times New Roman"/>
                <w:b/>
                <w:color w:val="000000"/>
                <w:lang w:eastAsia="es-CO"/>
              </w:rPr>
              <w:t>238</w:t>
            </w:r>
          </w:p>
        </w:tc>
        <w:tc>
          <w:tcPr>
            <w:tcW w:w="1671" w:type="dxa"/>
            <w:noWrap/>
          </w:tcPr>
          <w:p w14:paraId="54A01169" w14:textId="598647AC" w:rsidR="00D631D6" w:rsidRPr="00BD280E" w:rsidRDefault="00D631D6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47829C26" w14:textId="77777777" w:rsidR="00D631D6" w:rsidRDefault="00D631D6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6AC47D13" w14:textId="1005BF25" w:rsidR="000C69D2" w:rsidRPr="00BD280E" w:rsidRDefault="000C69D2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452286759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11605F7E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6D6C1F">
        <w:t>junio</w:t>
      </w:r>
      <w:r w:rsidRPr="00BD280E">
        <w:t xml:space="preserve">, </w:t>
      </w:r>
      <w:r w:rsidR="00367B4F">
        <w:t>3</w:t>
      </w:r>
      <w:r w:rsidR="006A0B4F" w:rsidRPr="00BD280E">
        <w:t>7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09AAAF06" w:rsidR="00613FF0" w:rsidRPr="00BD280E" w:rsidRDefault="006A0B4F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D280E">
              <w:rPr>
                <w:color w:val="000000"/>
              </w:rPr>
              <w:t>Secretaria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41664C2D" w:rsidR="00613FF0" w:rsidRPr="00BD280E" w:rsidRDefault="00A60C59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31B63E48" w:rsidR="00613FF0" w:rsidRPr="00BD280E" w:rsidRDefault="00A60C59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81,08%</w:t>
            </w:r>
          </w:p>
        </w:tc>
      </w:tr>
      <w:tr w:rsidR="00613FF0" w:rsidRPr="00BD280E" w14:paraId="59A81DA1" w14:textId="77777777" w:rsidTr="0088303D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56EB99" w14:textId="144912D1" w:rsidR="00613FF0" w:rsidRPr="00BD280E" w:rsidRDefault="000A32A2" w:rsidP="006A0B4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D280E">
              <w:rPr>
                <w:color w:val="000000"/>
              </w:rPr>
              <w:t>Secretaria de</w:t>
            </w:r>
            <w:r w:rsidR="006A0B4F" w:rsidRPr="00BD280E">
              <w:rPr>
                <w:color w:val="000000"/>
              </w:rPr>
              <w:t xml:space="preserve"> Integración Social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911E4" w14:textId="0F6D2F6E" w:rsidR="00613FF0" w:rsidRPr="00BD280E" w:rsidRDefault="00A60C59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2F0F065A" w:rsidR="00613FF0" w:rsidRPr="00BD280E" w:rsidRDefault="00A60C59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10,81%</w:t>
            </w:r>
          </w:p>
        </w:tc>
      </w:tr>
      <w:tr w:rsidR="002357F8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2D128CDD" w:rsidR="002357F8" w:rsidRPr="00BD280E" w:rsidRDefault="00A60C59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ETB – Empresa de Teléfonos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620D550A" w:rsidR="002357F8" w:rsidRPr="00BD280E" w:rsidRDefault="00A60C59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06F100BA" w:rsidR="002357F8" w:rsidRPr="00BD280E" w:rsidRDefault="00A60C59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5,40%</w:t>
            </w:r>
          </w:p>
        </w:tc>
      </w:tr>
      <w:tr w:rsidR="002357F8" w:rsidRPr="00BD280E" w14:paraId="3EF9BCDF" w14:textId="77777777" w:rsidTr="002357F8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6818C195" w14:textId="798DC45C" w:rsidR="002357F8" w:rsidRPr="00BD280E" w:rsidRDefault="00A60C59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Secretaria de Ambiente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C76007" w14:textId="77777777" w:rsidR="002357F8" w:rsidRPr="00BD280E" w:rsidRDefault="00B65DCD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BD280E"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3BB996D" w14:textId="6CCAC17F" w:rsidR="002357F8" w:rsidRPr="00BD280E" w:rsidRDefault="00A60C59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2,70%</w:t>
            </w:r>
          </w:p>
        </w:tc>
      </w:tr>
      <w:tr w:rsidR="002357F8" w:rsidRPr="00BD280E" w14:paraId="30D1C5F1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DCF7B6D" w14:textId="68A18060" w:rsidR="002357F8" w:rsidRPr="00BD280E" w:rsidRDefault="00A60C59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D280E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BBEB1DA" w14:textId="1DA32A8B" w:rsidR="002357F8" w:rsidRPr="00A60C59" w:rsidRDefault="00A60C59" w:rsidP="00A60C5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60C59">
              <w:rPr>
                <w:b/>
                <w:bCs/>
                <w:color w:val="000000"/>
              </w:rPr>
              <w:t>37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0DB9ED50" w14:textId="712B1282" w:rsidR="002357F8" w:rsidRPr="00A60C59" w:rsidRDefault="00A60C59" w:rsidP="00A60C5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60C59">
              <w:rPr>
                <w:b/>
                <w:bCs/>
                <w:color w:val="000000"/>
              </w:rPr>
              <w:t>100,00%</w:t>
            </w:r>
          </w:p>
        </w:tc>
      </w:tr>
    </w:tbl>
    <w:p w14:paraId="2F3054AC" w14:textId="77777777" w:rsidR="002357F8" w:rsidRPr="00BD280E" w:rsidRDefault="002357F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452286760"/>
      <w:r w:rsidRPr="00BD280E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507BED65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A60C59">
        <w:t>junio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 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452286761"/>
      <w:r w:rsidRPr="00BD280E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5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3A2C66D1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404CCF">
        <w:t>13</w:t>
      </w:r>
      <w:r w:rsidRPr="00BD280E">
        <w:t xml:space="preserve"> PQRSD fueron interpuestas por ciudadanos de la </w:t>
      </w:r>
      <w:r w:rsidR="007015D9" w:rsidRPr="00BD280E">
        <w:t xml:space="preserve">localidad de </w:t>
      </w:r>
      <w:r w:rsidR="00404CCF">
        <w:t>Ciudad Bolívar</w:t>
      </w:r>
      <w:r w:rsidR="007015D9" w:rsidRPr="00BD280E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63D68647" w:rsidR="00120D0D" w:rsidRPr="00BD280E" w:rsidRDefault="00404CCF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7EA2B2F" wp14:editId="2D87784D">
            <wp:extent cx="4691063" cy="3133725"/>
            <wp:effectExtent l="0" t="0" r="1460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452286762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2A453536" w:rsidR="00120D0D" w:rsidRPr="00BD280E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FE16B6">
        <w:rPr>
          <w:noProof/>
          <w:lang w:eastAsia="es-ES"/>
        </w:rPr>
        <w:t>322</w:t>
      </w:r>
      <w:r w:rsidR="001712B6" w:rsidRPr="00BD280E">
        <w:rPr>
          <w:noProof/>
          <w:lang w:eastAsia="es-ES"/>
        </w:rPr>
        <w:t xml:space="preserve"> PQRSD interpuestas en </w:t>
      </w:r>
      <w:r w:rsidR="006D6C1F">
        <w:rPr>
          <w:noProof/>
          <w:lang w:eastAsia="es-ES"/>
        </w:rPr>
        <w:t>junio</w:t>
      </w:r>
      <w:r w:rsidR="00B74DCD" w:rsidRPr="00BD280E">
        <w:rPr>
          <w:noProof/>
          <w:lang w:eastAsia="es-ES"/>
        </w:rPr>
        <w:t xml:space="preserve"> prevalecen lo</w:t>
      </w:r>
      <w:r w:rsidR="0005073C" w:rsidRPr="00BD280E">
        <w:rPr>
          <w:noProof/>
          <w:lang w:eastAsia="es-ES"/>
        </w:rPr>
        <w:t>s estratos socioeconó</w:t>
      </w:r>
      <w:r w:rsidR="00B74DCD" w:rsidRPr="00BD280E">
        <w:rPr>
          <w:noProof/>
          <w:lang w:eastAsia="es-ES"/>
        </w:rPr>
        <w:t xml:space="preserve">micos </w:t>
      </w:r>
      <w:r w:rsidR="00404CCF">
        <w:rPr>
          <w:noProof/>
          <w:lang w:eastAsia="es-ES"/>
        </w:rPr>
        <w:t>1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con una participación del 13</w:t>
      </w:r>
      <w:r w:rsidR="00C7162B" w:rsidRPr="00BD280E">
        <w:rPr>
          <w:noProof/>
          <w:lang w:eastAsia="es-ES"/>
        </w:rPr>
        <w:t>,</w:t>
      </w:r>
      <w:r w:rsidR="008928E3">
        <w:rPr>
          <w:noProof/>
          <w:lang w:eastAsia="es-ES"/>
        </w:rPr>
        <w:t>97</w:t>
      </w:r>
      <w:r w:rsidR="001712B6" w:rsidRPr="00BD280E">
        <w:rPr>
          <w:noProof/>
          <w:lang w:eastAsia="es-ES"/>
        </w:rPr>
        <w:t>% (</w:t>
      </w:r>
      <w:r w:rsidR="00404CCF">
        <w:rPr>
          <w:noProof/>
          <w:lang w:eastAsia="es-ES"/>
        </w:rPr>
        <w:t>45</w:t>
      </w:r>
      <w:r w:rsidR="001712B6" w:rsidRPr="00BD280E">
        <w:rPr>
          <w:noProof/>
          <w:lang w:eastAsia="es-ES"/>
        </w:rPr>
        <w:t xml:space="preserve">) y el estrato </w:t>
      </w:r>
      <w:r w:rsidR="00404CCF">
        <w:rPr>
          <w:noProof/>
          <w:lang w:eastAsia="es-ES"/>
        </w:rPr>
        <w:t>2</w:t>
      </w:r>
      <w:r w:rsidR="00B74DCD" w:rsidRPr="00BD280E">
        <w:rPr>
          <w:noProof/>
          <w:lang w:eastAsia="es-ES"/>
        </w:rPr>
        <w:t xml:space="preserve"> con</w:t>
      </w:r>
      <w:r w:rsidR="001712B6" w:rsidRPr="00BD280E">
        <w:rPr>
          <w:noProof/>
          <w:lang w:eastAsia="es-ES"/>
        </w:rPr>
        <w:t xml:space="preserve"> </w:t>
      </w:r>
      <w:r w:rsidR="008928E3">
        <w:rPr>
          <w:noProof/>
          <w:lang w:eastAsia="es-ES"/>
        </w:rPr>
        <w:t>11</w:t>
      </w:r>
      <w:r w:rsidR="005A022F" w:rsidRPr="00BD280E">
        <w:rPr>
          <w:noProof/>
          <w:lang w:eastAsia="es-ES"/>
        </w:rPr>
        <w:t>,</w:t>
      </w:r>
      <w:r w:rsidR="008928E3">
        <w:rPr>
          <w:noProof/>
          <w:lang w:eastAsia="es-ES"/>
        </w:rPr>
        <w:t>49</w:t>
      </w:r>
      <w:r w:rsidR="001712B6" w:rsidRPr="00BD280E">
        <w:rPr>
          <w:noProof/>
          <w:lang w:eastAsia="es-ES"/>
        </w:rPr>
        <w:t>% (</w:t>
      </w:r>
      <w:r w:rsidR="00404CCF">
        <w:rPr>
          <w:noProof/>
          <w:lang w:eastAsia="es-ES"/>
        </w:rPr>
        <w:t>37</w:t>
      </w:r>
      <w:r w:rsidR="001712B6" w:rsidRPr="00BD280E">
        <w:rPr>
          <w:noProof/>
          <w:lang w:eastAsia="es-ES"/>
        </w:rPr>
        <w:t>),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71397D2" w14:textId="55FD89B2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452286763"/>
      <w:r w:rsidRPr="00BD280E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20F8C325" w14:textId="2CDB47AA" w:rsidR="008806F8" w:rsidRPr="00BD280E" w:rsidRDefault="008806F8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8928E3">
        <w:rPr>
          <w:noProof/>
          <w:lang w:eastAsia="es-ES"/>
        </w:rPr>
        <w:t>322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8928E3">
        <w:rPr>
          <w:noProof/>
          <w:lang w:eastAsia="es-ES"/>
        </w:rPr>
        <w:t>7</w:t>
      </w:r>
      <w:r w:rsidR="006C0C4F" w:rsidRPr="00BD280E">
        <w:rPr>
          <w:noProof/>
          <w:lang w:eastAsia="es-ES"/>
        </w:rPr>
        <w:t>,</w:t>
      </w:r>
      <w:r w:rsidR="008928E3">
        <w:rPr>
          <w:noProof/>
          <w:lang w:eastAsia="es-ES"/>
        </w:rPr>
        <w:t>20</w:t>
      </w:r>
      <w:r w:rsidRPr="00BD280E">
        <w:rPr>
          <w:noProof/>
          <w:lang w:eastAsia="es-ES"/>
        </w:rPr>
        <w:t>% (</w:t>
      </w:r>
      <w:r w:rsidR="008928E3">
        <w:rPr>
          <w:noProof/>
          <w:lang w:eastAsia="es-ES"/>
        </w:rPr>
        <w:t>313</w:t>
      </w:r>
      <w:r w:rsidR="00B30CFA" w:rsidRPr="00BD280E">
        <w:rPr>
          <w:noProof/>
          <w:lang w:eastAsia="es-ES"/>
        </w:rPr>
        <w:t>) son personas naturales.</w:t>
      </w:r>
    </w:p>
    <w:p w14:paraId="02632B5A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3182C50F" w14:textId="09EBB6F9" w:rsidR="00120D0D" w:rsidRPr="00BD280E" w:rsidRDefault="008928E3" w:rsidP="008A2040">
      <w:pPr>
        <w:spacing w:after="0" w:line="240" w:lineRule="auto"/>
        <w:jc w:val="center"/>
        <w:rPr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2D71FC3" wp14:editId="01EA4340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452286764"/>
      <w:r w:rsidRPr="00BD280E">
        <w:rPr>
          <w:noProof/>
          <w:lang w:val="es-CO"/>
        </w:rPr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7F3A5CDF" w:rsidR="00120D0D" w:rsidRPr="00BD280E" w:rsidRDefault="008928E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78E7C3C0" w:rsidR="00120D0D" w:rsidRPr="00BD280E" w:rsidRDefault="00E248B8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8928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8928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20C1C846" w:rsidR="00120D0D" w:rsidRPr="00BD280E" w:rsidRDefault="008928E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2AB3304D" w:rsidR="00120D0D" w:rsidRPr="00BD280E" w:rsidRDefault="008928E3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2,17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32B0FA2D" w:rsidR="0062625E" w:rsidRPr="00BD280E" w:rsidRDefault="00FE16B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BD280E" w:rsidRDefault="00BD280E" w:rsidP="00262821">
      <w:pPr>
        <w:pStyle w:val="Ttulo2"/>
        <w:jc w:val="both"/>
        <w:rPr>
          <w:lang w:val="es-CO"/>
        </w:rPr>
      </w:pPr>
      <w:bookmarkStart w:id="20" w:name="_Toc452286765"/>
      <w:r>
        <w:rPr>
          <w:lang w:val="es-CO"/>
        </w:rPr>
        <w:t>Recomendaciones y observaciones de la c</w:t>
      </w:r>
      <w:r w:rsidR="00120D0D" w:rsidRPr="00BD280E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6F918069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6D6C1F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genero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lastRenderedPageBreak/>
        <w:t>Recomendaciones de los particulares dirigidas a mejorar el servicio que preste la entidad.</w:t>
      </w:r>
    </w:p>
    <w:p w14:paraId="6E5D4DB5" w14:textId="11106D7F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8928E3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mejorar el servicio que preste la Caja de Vivienda Popular.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1BE3B2DC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6D6C1F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393E0F40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8928E3">
        <w:rPr>
          <w:rFonts w:ascii="Calibri" w:eastAsia="Calibri" w:hAnsi="Calibri" w:cs="Times New Roman"/>
          <w:sz w:val="22"/>
          <w:szCs w:val="22"/>
          <w:lang w:val="es-CO"/>
        </w:rPr>
        <w:t>junio</w:t>
      </w:r>
      <w:r w:rsidR="007117D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16804973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452286766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1"/>
      <w:bookmarkEnd w:id="22"/>
      <w:bookmarkEnd w:id="23"/>
      <w:bookmarkEnd w:id="24"/>
      <w:r w:rsidR="00DB5ADB">
        <w:rPr>
          <w:rFonts w:cs="Arial"/>
          <w:szCs w:val="24"/>
          <w:lang w:val="es-CO"/>
        </w:rPr>
        <w:t>JUNIO</w:t>
      </w:r>
    </w:p>
    <w:p w14:paraId="263A55A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3D8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452286767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2650CEF5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52A6379E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16D3444C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1629AC97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33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15131734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54964D24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7B52B1C1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164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512CD189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1BFDA839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5CE70C2D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24681DA8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342C35B6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1350F1D1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573CDD" w:rsidRPr="00BD280E" w14:paraId="445C1B0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6CAA718F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0300679D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449CE9EE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2C28B8AF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6030D727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689EA891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041602BE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3EF2DC1C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767E20B8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779391F5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48A431F0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032B0607" w:rsidR="00573CDD" w:rsidRPr="00BD280E" w:rsidRDefault="00DB5ADB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3D41C3" w:rsidRPr="00BD280E" w14:paraId="256A7A0F" w14:textId="77777777" w:rsidTr="00685FB2">
        <w:trPr>
          <w:trHeight w:val="312"/>
        </w:trPr>
        <w:tc>
          <w:tcPr>
            <w:tcW w:w="4082" w:type="dxa"/>
            <w:shd w:val="clear" w:color="auto" w:fill="auto"/>
            <w:vAlign w:val="center"/>
          </w:tcPr>
          <w:p w14:paraId="48739DF9" w14:textId="001B5DFF" w:rsidR="003D41C3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6B773A67" w:rsidR="003D41C3" w:rsidRPr="00DB5ADB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B5A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75B9A54B" w:rsidR="003D41C3" w:rsidRPr="00DB5ADB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B5A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6799B1A0" w:rsidR="003D41C3" w:rsidRPr="00DB5ADB" w:rsidRDefault="00DB5ADB" w:rsidP="008A204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B5ADB">
              <w:rPr>
                <w:rFonts w:cs="Calibri"/>
                <w:b/>
                <w:color w:val="000000"/>
              </w:rPr>
              <w:t>238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452286768"/>
      <w:bookmarkStart w:id="30" w:name="_Toc3271541"/>
      <w:bookmarkStart w:id="31" w:name="_Toc6996654"/>
      <w:bookmarkStart w:id="32" w:name="_Toc11337904"/>
      <w:r w:rsidRPr="00BD280E">
        <w:rPr>
          <w:lang w:val="es-CO"/>
        </w:rPr>
        <w:lastRenderedPageBreak/>
        <w:t>Cálculo del Tiempo Promedio de Respuesta por Tipología y Dependencia</w:t>
      </w:r>
      <w:bookmarkEnd w:id="29"/>
      <w:r w:rsidRPr="00BD280E">
        <w:rPr>
          <w:lang w:val="es-CO"/>
        </w:rPr>
        <w:t xml:space="preserve"> </w:t>
      </w:r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640"/>
        <w:gridCol w:w="1067"/>
        <w:gridCol w:w="1027"/>
        <w:gridCol w:w="721"/>
        <w:gridCol w:w="426"/>
        <w:gridCol w:w="850"/>
        <w:gridCol w:w="646"/>
        <w:gridCol w:w="533"/>
        <w:gridCol w:w="1602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73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17770FE7" w:rsidR="008A2040" w:rsidRPr="00BD280E" w:rsidRDefault="00BD280E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PROMEDIO</w:t>
            </w:r>
          </w:p>
        </w:tc>
      </w:tr>
      <w:tr w:rsidR="008A2040" w:rsidRPr="00BD280E" w14:paraId="1132BC2A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6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DE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3B6AE20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2C48D943" w14:textId="5EB5E33D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  <w:p w14:paraId="3C2956A3" w14:textId="12A85524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166DC68D" w14:textId="71FC3CEF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067" w:type="dxa"/>
            <w:noWrap/>
            <w:vAlign w:val="center"/>
          </w:tcPr>
          <w:p w14:paraId="5A94CF9A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C66CDB7" w14:textId="6963840E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027" w:type="dxa"/>
            <w:noWrap/>
            <w:vAlign w:val="center"/>
          </w:tcPr>
          <w:p w14:paraId="5EEEABB0" w14:textId="4222E72A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3600A78F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96E63DA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EA5EEE8" w14:textId="44620B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6" w:type="dxa"/>
            <w:noWrap/>
            <w:vAlign w:val="center"/>
            <w:hideMark/>
          </w:tcPr>
          <w:p w14:paraId="4B7DB069" w14:textId="2AC1CB7B" w:rsidR="008A2040" w:rsidRPr="00BD280E" w:rsidRDefault="00B175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  <w:p w14:paraId="5ECAF313" w14:textId="76313E9F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3" w:type="dxa"/>
          </w:tcPr>
          <w:p w14:paraId="5764FFAA" w14:textId="77777777" w:rsidR="008A2040" w:rsidRPr="00BD280E" w:rsidRDefault="008A2040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2ADC13F8" w14:textId="77F51A3F" w:rsidR="008A2040" w:rsidRPr="00BD280E" w:rsidRDefault="00B1752C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18,75</w:t>
            </w:r>
          </w:p>
        </w:tc>
      </w:tr>
      <w:tr w:rsidR="008A2040" w:rsidRPr="00BD280E" w14:paraId="71EFC3EA" w14:textId="77777777" w:rsidTr="00DE7F6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49853347" w14:textId="18ED8295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7" w:type="dxa"/>
            <w:noWrap/>
            <w:vAlign w:val="center"/>
          </w:tcPr>
          <w:p w14:paraId="160D17F7" w14:textId="7D5B1BFC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F5D2B29" w14:textId="1B7A3BEA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089DB98F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C7BB714" w14:textId="3E2E3FB6" w:rsidR="008A2040" w:rsidRPr="00BD280E" w:rsidRDefault="00B175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646" w:type="dxa"/>
            <w:noWrap/>
            <w:vAlign w:val="center"/>
            <w:hideMark/>
          </w:tcPr>
          <w:p w14:paraId="212B5229" w14:textId="203A7C1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3" w:type="dxa"/>
          </w:tcPr>
          <w:p w14:paraId="170E0779" w14:textId="77777777" w:rsidR="008A2040" w:rsidRPr="00BD280E" w:rsidRDefault="008A2040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15FBA4D9" w14:textId="13FEA6C6" w:rsidR="008A2040" w:rsidRPr="00BD280E" w:rsidRDefault="00B1752C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23,5</w:t>
            </w:r>
          </w:p>
        </w:tc>
      </w:tr>
      <w:tr w:rsidR="008A2040" w:rsidRPr="00BD280E" w14:paraId="514B6DC7" w14:textId="77777777" w:rsidTr="00DE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7CD6ED96" w14:textId="0DE8DF80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067" w:type="dxa"/>
            <w:noWrap/>
            <w:vAlign w:val="center"/>
          </w:tcPr>
          <w:p w14:paraId="5C659E7C" w14:textId="38109BC8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417DD2CA" w14:textId="580A3B59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21" w:type="dxa"/>
            <w:noWrap/>
            <w:vAlign w:val="center"/>
          </w:tcPr>
          <w:p w14:paraId="130C5DC3" w14:textId="1E3B6B10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1005CFFA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40A318B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33938FEA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C75B52A" w14:textId="28ABA5A2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6" w:type="dxa"/>
            <w:noWrap/>
            <w:vAlign w:val="center"/>
            <w:hideMark/>
          </w:tcPr>
          <w:p w14:paraId="2AB3F65C" w14:textId="29514F39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3" w:type="dxa"/>
          </w:tcPr>
          <w:p w14:paraId="39D7D492" w14:textId="77777777" w:rsidR="008A2040" w:rsidRPr="00BD280E" w:rsidRDefault="008A2040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54FEE2B0" w14:textId="0816EC42" w:rsidR="008A2040" w:rsidRPr="00BD280E" w:rsidRDefault="00B1752C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17,28</w:t>
            </w:r>
          </w:p>
        </w:tc>
      </w:tr>
      <w:tr w:rsidR="008A2040" w:rsidRPr="00BD280E" w14:paraId="57C69BC2" w14:textId="77777777" w:rsidTr="00DE7F6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4D2B439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  <w:p w14:paraId="165F776F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</w:tcPr>
          <w:p w14:paraId="074BCB0F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6775A494" w14:textId="49CD1186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067" w:type="dxa"/>
            <w:noWrap/>
            <w:vAlign w:val="center"/>
          </w:tcPr>
          <w:p w14:paraId="2737B801" w14:textId="275E7738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17,2</w:t>
            </w:r>
          </w:p>
        </w:tc>
        <w:tc>
          <w:tcPr>
            <w:tcW w:w="1027" w:type="dxa"/>
            <w:noWrap/>
            <w:vAlign w:val="center"/>
          </w:tcPr>
          <w:p w14:paraId="1F9AC9F8" w14:textId="71F4CEA3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17,71</w:t>
            </w:r>
          </w:p>
        </w:tc>
        <w:tc>
          <w:tcPr>
            <w:tcW w:w="721" w:type="dxa"/>
            <w:noWrap/>
            <w:vAlign w:val="center"/>
          </w:tcPr>
          <w:p w14:paraId="1042ED23" w14:textId="4C5EA4DC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19,66</w:t>
            </w:r>
          </w:p>
        </w:tc>
        <w:tc>
          <w:tcPr>
            <w:tcW w:w="426" w:type="dxa"/>
          </w:tcPr>
          <w:p w14:paraId="72901A79" w14:textId="15CBAACC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D548E18" w14:textId="0EED66E4" w:rsidR="008A2040" w:rsidRPr="00BD280E" w:rsidRDefault="00B175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20,75</w:t>
            </w:r>
          </w:p>
        </w:tc>
        <w:tc>
          <w:tcPr>
            <w:tcW w:w="646" w:type="dxa"/>
            <w:noWrap/>
            <w:vAlign w:val="center"/>
          </w:tcPr>
          <w:p w14:paraId="4FDBE531" w14:textId="693A63F7" w:rsidR="008A2040" w:rsidRPr="00BD280E" w:rsidRDefault="00B175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533" w:type="dxa"/>
          </w:tcPr>
          <w:p w14:paraId="0BB7F70B" w14:textId="1EAD7EE8" w:rsidR="008A2040" w:rsidRPr="00BD280E" w:rsidRDefault="008A2040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41F464AA" w14:textId="7607A6F2" w:rsidR="008A2040" w:rsidRPr="00BD280E" w:rsidRDefault="00B1752C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17,93</w:t>
            </w:r>
          </w:p>
        </w:tc>
      </w:tr>
      <w:tr w:rsidR="008A2040" w:rsidRPr="00BD280E" w14:paraId="206A6BC6" w14:textId="77777777" w:rsidTr="00DE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049314D2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9761F17" w14:textId="2CC43FF9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0C0B3D35" w14:textId="3538CF23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067" w:type="dxa"/>
            <w:noWrap/>
            <w:vAlign w:val="center"/>
          </w:tcPr>
          <w:p w14:paraId="2637DB72" w14:textId="65E77EA1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47EA58F0" w14:textId="2F2689A1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10,33</w:t>
            </w:r>
          </w:p>
        </w:tc>
        <w:tc>
          <w:tcPr>
            <w:tcW w:w="721" w:type="dxa"/>
            <w:noWrap/>
            <w:vAlign w:val="center"/>
          </w:tcPr>
          <w:p w14:paraId="0462D5B2" w14:textId="6A19D92C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426" w:type="dxa"/>
          </w:tcPr>
          <w:p w14:paraId="3C44E4B3" w14:textId="2CAD529C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5EACAD5B" w14:textId="1C239CE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6" w:type="dxa"/>
            <w:noWrap/>
            <w:vAlign w:val="center"/>
          </w:tcPr>
          <w:p w14:paraId="218375E5" w14:textId="5C94FAE1" w:rsidR="008A2040" w:rsidRPr="00BD280E" w:rsidRDefault="00B175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</w:t>
            </w:r>
          </w:p>
        </w:tc>
        <w:tc>
          <w:tcPr>
            <w:tcW w:w="533" w:type="dxa"/>
          </w:tcPr>
          <w:p w14:paraId="60374208" w14:textId="7B8799C9" w:rsidR="008A2040" w:rsidRPr="00BD280E" w:rsidRDefault="008A2040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4B4E9301" w14:textId="1D4EBC09" w:rsidR="008A2040" w:rsidRPr="00BD280E" w:rsidRDefault="00B1752C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9,39</w:t>
            </w:r>
          </w:p>
        </w:tc>
      </w:tr>
      <w:tr w:rsidR="00B1752C" w:rsidRPr="00BD280E" w14:paraId="5723E0C3" w14:textId="77777777" w:rsidTr="00DE7F6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353699C0" w14:textId="724C36C1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7" w:type="dxa"/>
            <w:noWrap/>
            <w:vAlign w:val="center"/>
          </w:tcPr>
          <w:p w14:paraId="0AB51858" w14:textId="04644DDB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</w:t>
            </w:r>
          </w:p>
        </w:tc>
        <w:tc>
          <w:tcPr>
            <w:tcW w:w="1027" w:type="dxa"/>
            <w:noWrap/>
            <w:vAlign w:val="center"/>
          </w:tcPr>
          <w:p w14:paraId="6073A748" w14:textId="3884FA63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634FF620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DE01E1C" w14:textId="12887D4B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6" w:type="dxa"/>
            <w:noWrap/>
            <w:vAlign w:val="center"/>
          </w:tcPr>
          <w:p w14:paraId="09EFD4DE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3" w:type="dxa"/>
          </w:tcPr>
          <w:p w14:paraId="27F46A67" w14:textId="77777777" w:rsidR="008A2040" w:rsidRPr="00BD280E" w:rsidRDefault="008A2040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50C60112" w14:textId="3AE43272" w:rsidR="008A2040" w:rsidRPr="00BD280E" w:rsidRDefault="00B1752C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B1752C" w:rsidRPr="00BD280E" w14:paraId="1A67065F" w14:textId="77777777" w:rsidTr="00DE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0A7A4B5A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3F10D59C" w14:textId="2D6AC4D1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7" w:type="dxa"/>
            <w:noWrap/>
            <w:vAlign w:val="center"/>
          </w:tcPr>
          <w:p w14:paraId="03DF8B2E" w14:textId="1AC20103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027" w:type="dxa"/>
            <w:noWrap/>
            <w:vAlign w:val="center"/>
          </w:tcPr>
          <w:p w14:paraId="31EB1E75" w14:textId="677249FE" w:rsidR="008A2040" w:rsidRPr="00BD280E" w:rsidRDefault="00DE7F6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17,4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1C01372E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D0650F5" w14:textId="1EFEA28E" w:rsidR="008A2040" w:rsidRPr="00BD280E" w:rsidRDefault="00B175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646" w:type="dxa"/>
            <w:noWrap/>
            <w:vAlign w:val="center"/>
          </w:tcPr>
          <w:p w14:paraId="165C9335" w14:textId="7928D1A4" w:rsidR="008A2040" w:rsidRPr="00BD280E" w:rsidRDefault="00B1752C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533" w:type="dxa"/>
          </w:tcPr>
          <w:p w14:paraId="0A8E007E" w14:textId="77777777" w:rsidR="008A2040" w:rsidRPr="00BD280E" w:rsidRDefault="008A2040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788827AD" w14:textId="2A14A811" w:rsidR="008A2040" w:rsidRPr="00BD280E" w:rsidRDefault="00B1752C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19,66</w:t>
            </w:r>
          </w:p>
        </w:tc>
      </w:tr>
      <w:tr w:rsidR="00B1752C" w:rsidRPr="00BD280E" w14:paraId="5E9A2268" w14:textId="77777777" w:rsidTr="00DE7F6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6F7BF8A5" w14:textId="16621E58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103870C8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noWrap/>
            <w:vAlign w:val="center"/>
          </w:tcPr>
          <w:p w14:paraId="01FEB7C6" w14:textId="3B82490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67" w:type="dxa"/>
            <w:noWrap/>
            <w:vAlign w:val="center"/>
          </w:tcPr>
          <w:p w14:paraId="23DCD4B7" w14:textId="1AAB7C88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9D92348" w14:textId="04B65291" w:rsidR="008A2040" w:rsidRPr="00BD280E" w:rsidRDefault="00DE7F69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</w:t>
            </w:r>
          </w:p>
        </w:tc>
        <w:tc>
          <w:tcPr>
            <w:tcW w:w="721" w:type="dxa"/>
            <w:noWrap/>
            <w:vAlign w:val="center"/>
          </w:tcPr>
          <w:p w14:paraId="4A2B77D8" w14:textId="07B64271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</w:tcPr>
          <w:p w14:paraId="47A18F78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00A16886" w14:textId="3DAF149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46" w:type="dxa"/>
            <w:noWrap/>
            <w:vAlign w:val="center"/>
          </w:tcPr>
          <w:p w14:paraId="4B3381FE" w14:textId="370F49D8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3" w:type="dxa"/>
          </w:tcPr>
          <w:p w14:paraId="477E8F27" w14:textId="77777777" w:rsidR="008A2040" w:rsidRPr="00BD280E" w:rsidRDefault="008A2040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120ED8A6" w14:textId="3955842B" w:rsidR="008A2040" w:rsidRPr="00BD280E" w:rsidRDefault="00B1752C" w:rsidP="008A20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</w:t>
            </w:r>
          </w:p>
        </w:tc>
      </w:tr>
      <w:tr w:rsidR="00B1752C" w:rsidRPr="00BD280E" w14:paraId="49C20681" w14:textId="77777777" w:rsidTr="00DE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B61FC4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61FC4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4553FEF2" w14:textId="1B07DDF8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640" w:type="dxa"/>
            <w:noWrap/>
            <w:vAlign w:val="center"/>
          </w:tcPr>
          <w:p w14:paraId="742E1C46" w14:textId="3D9E6634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18,5</w:t>
            </w:r>
          </w:p>
        </w:tc>
        <w:tc>
          <w:tcPr>
            <w:tcW w:w="1067" w:type="dxa"/>
            <w:noWrap/>
            <w:vAlign w:val="center"/>
          </w:tcPr>
          <w:p w14:paraId="27FF92A1" w14:textId="5DDBC72A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17,8</w:t>
            </w:r>
          </w:p>
        </w:tc>
        <w:tc>
          <w:tcPr>
            <w:tcW w:w="1027" w:type="dxa"/>
            <w:noWrap/>
            <w:vAlign w:val="center"/>
          </w:tcPr>
          <w:p w14:paraId="12A9053B" w14:textId="78785FC3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16,47</w:t>
            </w:r>
          </w:p>
        </w:tc>
        <w:tc>
          <w:tcPr>
            <w:tcW w:w="721" w:type="dxa"/>
            <w:noWrap/>
            <w:vAlign w:val="center"/>
          </w:tcPr>
          <w:p w14:paraId="793A5AA2" w14:textId="54886E50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18,8</w:t>
            </w:r>
          </w:p>
        </w:tc>
        <w:tc>
          <w:tcPr>
            <w:tcW w:w="426" w:type="dxa"/>
          </w:tcPr>
          <w:p w14:paraId="720D9A68" w14:textId="77777777" w:rsidR="00B1752C" w:rsidRPr="00B1752C" w:rsidRDefault="00B1752C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3E0572B0" w:rsidR="008A2040" w:rsidRPr="00B1752C" w:rsidRDefault="00DE7F69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67ABB3BF" w14:textId="299B4485" w:rsidR="008A2040" w:rsidRPr="00B1752C" w:rsidRDefault="00B1752C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20,5</w:t>
            </w:r>
          </w:p>
        </w:tc>
        <w:tc>
          <w:tcPr>
            <w:tcW w:w="646" w:type="dxa"/>
            <w:noWrap/>
            <w:vAlign w:val="center"/>
          </w:tcPr>
          <w:p w14:paraId="411B9B93" w14:textId="1F090511" w:rsidR="008A2040" w:rsidRPr="00B1752C" w:rsidRDefault="00B1752C" w:rsidP="00B175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10,6</w:t>
            </w:r>
          </w:p>
        </w:tc>
        <w:tc>
          <w:tcPr>
            <w:tcW w:w="533" w:type="dxa"/>
          </w:tcPr>
          <w:p w14:paraId="4F423B0A" w14:textId="23532CAF" w:rsidR="008A2040" w:rsidRPr="00B61FC4" w:rsidRDefault="008A2040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2" w:type="dxa"/>
            <w:noWrap/>
            <w:vAlign w:val="center"/>
          </w:tcPr>
          <w:p w14:paraId="5B2C3389" w14:textId="2A3D3601" w:rsidR="008A2040" w:rsidRPr="00B1752C" w:rsidRDefault="00B1752C" w:rsidP="008A20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1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16,60</w:t>
            </w:r>
          </w:p>
        </w:tc>
      </w:tr>
    </w:tbl>
    <w:p w14:paraId="60CBFA90" w14:textId="77777777" w:rsidR="00AC54E6" w:rsidRPr="00BD280E" w:rsidRDefault="00AC54E6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452286769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7"/>
      <w:bookmarkEnd w:id="38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3AF0B" w14:textId="1C17DEE4" w:rsidR="004C1744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8A2040" w:rsidRPr="00BD280E">
        <w:t>mayo</w:t>
      </w:r>
      <w:r w:rsidR="006D6C1F">
        <w:t xml:space="preserve"> y junio</w:t>
      </w:r>
      <w:r w:rsidR="003F45D8" w:rsidRPr="00BD280E">
        <w:t xml:space="preserve"> en la actual vigencia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284CCACB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proofErr w:type="gramStart"/>
            <w:r w:rsidR="005C4B3E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</w:t>
            </w:r>
            <w:proofErr w:type="gramEnd"/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MAYO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JUNIO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9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40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40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1F7661C" w14:textId="22C86F71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1752C" w:rsidRPr="00BD280E" w14:paraId="5E1AAB1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0B78941F" w:rsidR="00B1752C" w:rsidRPr="00BD280E" w:rsidRDefault="0042374E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B1752C" w:rsidRPr="00BD280E" w14:paraId="1F00D792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44F21B9A" w:rsidR="00B1752C" w:rsidRPr="00BD280E" w:rsidRDefault="0042374E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B1752C" w:rsidRPr="00BD280E" w:rsidRDefault="0042374E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B1752C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13667917" w:rsidR="00B1752C" w:rsidRPr="00BD280E" w:rsidRDefault="0042374E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B1752C" w:rsidRPr="00BD280E" w:rsidRDefault="0042374E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B1752C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E4031D6" w:rsidR="00B1752C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</w:tcPr>
          <w:p w14:paraId="6F295969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B1752C" w:rsidRDefault="00B1752C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B1752C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B1752C" w:rsidRPr="00BD280E" w14:paraId="4A9FBAA7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5C639C39" w:rsidR="00B1752C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</w:tcPr>
          <w:p w14:paraId="11643284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B1752C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B1752C" w:rsidRDefault="00B1752C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B1752C" w:rsidRDefault="00B1752C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B1752C" w:rsidRDefault="00B1752C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B1752C" w:rsidRDefault="00B1752C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B1752C" w:rsidRDefault="00B1752C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B1752C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42374E" w:rsidRPr="00BD280E" w14:paraId="46344EDC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28BEA7D3" w:rsidR="0042374E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</w:tcPr>
          <w:p w14:paraId="5F3C9C0A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42374E" w:rsidRPr="00BD280E" w:rsidRDefault="0042374E" w:rsidP="0042374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72AA36D3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12BE63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42374E" w:rsidRPr="00BD280E" w14:paraId="49413F58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E475B2" w:rsidR="0042374E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</w:tcPr>
          <w:p w14:paraId="68A57EBC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42374E" w:rsidRPr="00BD280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42374E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48E6190D" w:rsidR="0042374E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</w:tcPr>
          <w:p w14:paraId="5DE3669F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9026C37" w14:textId="79C3135C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FE53F8" w14:textId="4ACF3C86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1508F8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3E830B4" w14:textId="2A7C86DF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1508F8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E64C4E" w14:textId="0169B9BC" w:rsidR="0042374E" w:rsidRPr="00BD280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42374E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206CAFA2" w:rsidR="0042374E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</w:tcPr>
          <w:p w14:paraId="467558A3" w14:textId="77777777" w:rsidR="001508F8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5053130" w14:textId="0EAADFA8" w:rsidR="0042374E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33CB2BD" w14:textId="5B1FCFDC" w:rsidR="001508F8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508F8">
              <w:rPr>
                <w:rFonts w:eastAsia="Times New Roman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AA1CE41" w14:textId="3B50B4B7" w:rsidR="001508F8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508F8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C728C67" w14:textId="148C29B5" w:rsidR="0042374E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1508F8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1508F8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42374E" w:rsidRDefault="0042374E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2A5629B" w14:textId="2C715860" w:rsidR="001508F8" w:rsidRPr="00BD280E" w:rsidRDefault="001508F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42374E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42374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54626344" w:rsidR="0042374E" w:rsidRPr="00BD280E" w:rsidRDefault="0042374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</w:tcPr>
          <w:p w14:paraId="7B002173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CE232C" w14:textId="7D352DCD" w:rsidR="001508F8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281C16" w14:textId="16862ED7" w:rsidR="001508F8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508F8">
              <w:rPr>
                <w:rFonts w:eastAsia="Times New Roman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42374E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508F8">
              <w:rPr>
                <w:rFonts w:eastAsia="Times New Roman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42374E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42374E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42374E" w:rsidRDefault="0042374E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1508F8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42374E" w:rsidRPr="00BD280E" w:rsidRDefault="001508F8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34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57F67E" w14:textId="25BDE77E" w:rsidR="00444593" w:rsidRPr="00BD280E" w:rsidRDefault="000B15B8" w:rsidP="00262821">
      <w:pPr>
        <w:pStyle w:val="Textoindependiente"/>
        <w:jc w:val="both"/>
      </w:pPr>
      <w:r>
        <w:lastRenderedPageBreak/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1508F8">
        <w:t xml:space="preserve"> y junio del 2020</w:t>
      </w:r>
      <w:r w:rsidR="00444593" w:rsidRPr="00BD280E">
        <w:t>.</w:t>
      </w: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1" w:name="_Toc535239897"/>
      <w:bookmarkStart w:id="42" w:name="_Toc3271545"/>
      <w:bookmarkStart w:id="43" w:name="_Toc6996658"/>
      <w:bookmarkStart w:id="44" w:name="_Toc11337908"/>
      <w:bookmarkStart w:id="45" w:name="_Toc452286770"/>
      <w:r w:rsidRPr="00BD280E">
        <w:rPr>
          <w:rFonts w:cs="Arial"/>
          <w:szCs w:val="24"/>
          <w:lang w:val="es-CO"/>
        </w:rPr>
        <w:t>CONCLUSIONES</w:t>
      </w:r>
      <w:bookmarkEnd w:id="41"/>
      <w:bookmarkEnd w:id="42"/>
      <w:bookmarkEnd w:id="43"/>
      <w:bookmarkEnd w:id="44"/>
      <w:bookmarkEnd w:id="45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44BE886E" w:rsidR="000B15B8" w:rsidRDefault="000B15B8" w:rsidP="00262821">
      <w:pPr>
        <w:pStyle w:val="Textoindependiente"/>
        <w:jc w:val="both"/>
      </w:pPr>
      <w:bookmarkStart w:id="46" w:name="_Hlk6944001"/>
      <w:r>
        <w:t xml:space="preserve">De acuerdo a las PQRSD interpuestas por los ciudadanos en </w:t>
      </w:r>
      <w:r w:rsidR="001508F8">
        <w:t>junio</w:t>
      </w:r>
      <w:r>
        <w:t xml:space="preserve"> de 2020 ante la CVP, se puede indicar:</w:t>
      </w:r>
    </w:p>
    <w:p w14:paraId="5A21F5C2" w14:textId="1DBDB6BF" w:rsidR="00096615" w:rsidRPr="00BD280E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7E4926" w:rsidRPr="00B61FC4">
        <w:t>1</w:t>
      </w:r>
      <w:r w:rsidR="001508F8">
        <w:t>6</w:t>
      </w:r>
      <w:r w:rsidR="0017022E" w:rsidRPr="00B61FC4">
        <w:t>,</w:t>
      </w:r>
      <w:r w:rsidR="001508F8">
        <w:t>60</w:t>
      </w:r>
      <w:r w:rsidR="00096615" w:rsidRPr="00BD280E">
        <w:t xml:space="preserve"> 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4D32FF7A" w14:textId="58CDE9A5" w:rsidR="001508F8" w:rsidRPr="00BD280E" w:rsidRDefault="00444593" w:rsidP="00262821">
      <w:pPr>
        <w:pStyle w:val="Textoindependiente"/>
        <w:jc w:val="both"/>
      </w:pPr>
      <w:r w:rsidRPr="00BD280E">
        <w:t>De las PQRSD (</w:t>
      </w:r>
      <w:r w:rsidR="001508F8">
        <w:t>322</w:t>
      </w:r>
      <w:r w:rsidRPr="00BD280E">
        <w:t xml:space="preserve">) recibidas en </w:t>
      </w:r>
      <w:r w:rsidR="001508F8">
        <w:t>junio</w:t>
      </w:r>
      <w:r w:rsidRPr="00BD280E">
        <w:t xml:space="preserve">, el </w:t>
      </w:r>
      <w:r w:rsidRPr="00BD280E">
        <w:rPr>
          <w:i/>
          <w:iCs/>
        </w:rPr>
        <w:t>Derecho de Petición de Interés Particular</w:t>
      </w:r>
      <w:r w:rsidRPr="00BD280E">
        <w:t xml:space="preserve"> fue la tipología más utilizada por la ciudadanía, con una participación del </w:t>
      </w:r>
      <w:r w:rsidR="001508F8">
        <w:t>83</w:t>
      </w:r>
      <w:r w:rsidR="007E4926" w:rsidRPr="00B61FC4">
        <w:t>,</w:t>
      </w:r>
      <w:r w:rsidR="001508F8">
        <w:t>22</w:t>
      </w:r>
      <w:r w:rsidRPr="00B61FC4">
        <w:t>% (</w:t>
      </w:r>
      <w:r w:rsidR="001508F8">
        <w:t>268</w:t>
      </w:r>
      <w:r w:rsidRPr="00B61FC4">
        <w:t>), segu</w:t>
      </w:r>
      <w:r w:rsidR="008A2040" w:rsidRPr="00B61FC4">
        <w:t xml:space="preserve">ido </w:t>
      </w:r>
      <w:r w:rsidR="001508F8" w:rsidRPr="00CD4CB0">
        <w:t>de</w:t>
      </w:r>
      <w:r w:rsidR="001508F8">
        <w:t xml:space="preserve"> la Consulta</w:t>
      </w:r>
      <w:r w:rsidR="001508F8" w:rsidRPr="00CD4CB0">
        <w:t xml:space="preserve"> con </w:t>
      </w:r>
      <w:r w:rsidR="001508F8">
        <w:t>5</w:t>
      </w:r>
      <w:r w:rsidR="001508F8" w:rsidRPr="00CD4CB0">
        <w:t>,</w:t>
      </w:r>
      <w:r w:rsidR="001508F8">
        <w:t>27</w:t>
      </w:r>
      <w:r w:rsidR="001508F8" w:rsidRPr="00CD4CB0">
        <w:t>% (</w:t>
      </w:r>
      <w:r w:rsidR="001508F8">
        <w:t>17</w:t>
      </w:r>
      <w:r w:rsidR="001508F8" w:rsidRPr="00CD4CB0">
        <w:t xml:space="preserve">) y </w:t>
      </w:r>
      <w:r w:rsidR="001508F8">
        <w:t xml:space="preserve">el </w:t>
      </w:r>
      <w:r w:rsidR="001508F8" w:rsidRPr="00CD4CB0">
        <w:rPr>
          <w:iCs/>
        </w:rPr>
        <w:t>Derecho de Petición de Interés General</w:t>
      </w:r>
      <w:r w:rsidR="001508F8" w:rsidRPr="00CD4CB0">
        <w:t xml:space="preserve"> con un 3,</w:t>
      </w:r>
      <w:r w:rsidR="001508F8">
        <w:t>41</w:t>
      </w:r>
      <w:r w:rsidR="001508F8" w:rsidRPr="00CD4CB0">
        <w:t>% (</w:t>
      </w:r>
      <w:r w:rsidR="001508F8">
        <w:t>11).</w:t>
      </w:r>
    </w:p>
    <w:p w14:paraId="2353B386" w14:textId="61B6EAD9" w:rsidR="001508F8" w:rsidRPr="00BD280E" w:rsidRDefault="00444593" w:rsidP="00262821">
      <w:pPr>
        <w:pStyle w:val="Textoindependiente"/>
        <w:jc w:val="both"/>
      </w:pPr>
      <w:r w:rsidRPr="00BD280E">
        <w:t xml:space="preserve">El canal </w:t>
      </w:r>
      <w:r w:rsidR="000B15B8">
        <w:t>e-m</w:t>
      </w:r>
      <w:r w:rsidR="007E4926" w:rsidRPr="00BD280E">
        <w:t>ail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 </w:t>
      </w:r>
      <w:r w:rsidR="001508F8">
        <w:t>junio</w:t>
      </w:r>
      <w:r w:rsidR="007E4926" w:rsidRPr="00BD280E">
        <w:t xml:space="preserve"> </w:t>
      </w:r>
      <w:r w:rsidRPr="00BD280E">
        <w:t xml:space="preserve">con una participación del </w:t>
      </w:r>
      <w:r w:rsidR="001508F8">
        <w:t>67,08</w:t>
      </w:r>
      <w:r w:rsidRPr="00B61FC4">
        <w:t>% (</w:t>
      </w:r>
      <w:r w:rsidR="001508F8">
        <w:t>216</w:t>
      </w:r>
      <w:r w:rsidRPr="00B61FC4">
        <w:t xml:space="preserve">), seguido del </w:t>
      </w:r>
      <w:r w:rsidR="001508F8">
        <w:t>Escrito</w:t>
      </w:r>
      <w:r w:rsidRPr="00B61FC4">
        <w:t xml:space="preserve"> con una participación del </w:t>
      </w:r>
      <w:r w:rsidR="001508F8">
        <w:t>19</w:t>
      </w:r>
      <w:r w:rsidR="007E4926" w:rsidRPr="00B61FC4">
        <w:t>,</w:t>
      </w:r>
      <w:r w:rsidR="00FE16B6">
        <w:t>57</w:t>
      </w:r>
      <w:r w:rsidRPr="00B61FC4">
        <w:t>% (</w:t>
      </w:r>
      <w:r w:rsidR="001508F8">
        <w:t>6</w:t>
      </w:r>
      <w:r w:rsidR="008A2040" w:rsidRPr="00B61FC4">
        <w:t>3</w:t>
      </w:r>
      <w:r w:rsidRPr="00B61FC4">
        <w:t xml:space="preserve">) </w:t>
      </w:r>
      <w:r w:rsidR="006D6C1F">
        <w:t>Web 12,73% (41) y las Redes Sociales al igual que el Telefónico cada uno aporta el 0,31% (1).</w:t>
      </w:r>
    </w:p>
    <w:p w14:paraId="3594D052" w14:textId="538E033E" w:rsidR="00120D0D" w:rsidRPr="00BD280E" w:rsidRDefault="00120D0D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 w:rsidR="000B15B8">
        <w:t xml:space="preserve">el proceso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Pr="00BD280E">
        <w:t xml:space="preserve">ntidad. </w:t>
      </w:r>
    </w:p>
    <w:bookmarkEnd w:id="46"/>
    <w:p w14:paraId="403B30BC" w14:textId="259E40FD" w:rsidR="00B61FC4" w:rsidRDefault="00B61FC4" w:rsidP="00262821">
      <w:pPr>
        <w:spacing w:after="0" w:line="240" w:lineRule="auto"/>
        <w:jc w:val="both"/>
      </w:pPr>
    </w:p>
    <w:p w14:paraId="432FF7C3" w14:textId="602FDE2B" w:rsidR="00B61FC4" w:rsidRDefault="00B61FC4" w:rsidP="00262821">
      <w:pPr>
        <w:spacing w:after="0" w:line="240" w:lineRule="auto"/>
        <w:jc w:val="both"/>
      </w:pPr>
    </w:p>
    <w:p w14:paraId="276B0611" w14:textId="77777777" w:rsidR="00B61FC4" w:rsidRPr="00BD280E" w:rsidRDefault="00B61FC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38CE2" w14:textId="77777777" w:rsidR="00DC6746" w:rsidRPr="00BD280E" w:rsidRDefault="00DC6746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61D1F" w14:textId="77777777" w:rsidR="006D6C1F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0927B6A2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77777777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501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3EE74FE" w14:textId="44AFECAF" w:rsidR="00D1414B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Cesar Combita Cáceres – Profesional Especializado Grado 222-05 </w:t>
      </w:r>
      <w:r w:rsidR="00603B04"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E0B342E" w14:textId="367A8BA4" w:rsidR="00800F9C" w:rsidRPr="00BD280E" w:rsidRDefault="00800F9C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</w:p>
    <w:sectPr w:rsidR="00800F9C" w:rsidRPr="00BD280E" w:rsidSect="00C94760">
      <w:headerReference w:type="default" r:id="rId14"/>
      <w:footerReference w:type="default" r:id="rId15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0CF0" w14:textId="77777777" w:rsidR="00547D9B" w:rsidRDefault="00547D9B" w:rsidP="000C58E8">
      <w:pPr>
        <w:spacing w:after="0" w:line="240" w:lineRule="auto"/>
      </w:pPr>
      <w:r>
        <w:separator/>
      </w:r>
    </w:p>
  </w:endnote>
  <w:endnote w:type="continuationSeparator" w:id="0">
    <w:p w14:paraId="658C6C26" w14:textId="77777777" w:rsidR="00547D9B" w:rsidRDefault="00547D9B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AE3C24" w:rsidRDefault="00AE3C24" w:rsidP="00E30DEF">
    <w:pPr>
      <w:pStyle w:val="Piedepgina"/>
    </w:pPr>
    <w:r>
      <w:t xml:space="preserve">     </w:t>
    </w:r>
  </w:p>
  <w:p w14:paraId="5EACB25A" w14:textId="6CC36EB9" w:rsidR="00AE3C24" w:rsidRPr="00E30DEF" w:rsidRDefault="00AE3C24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AE3C24" w:rsidRPr="00643927" w:rsidRDefault="00AE3C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AE3C24" w:rsidRPr="00643927" w:rsidRDefault="00AE3C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AE3C24" w:rsidRPr="00643927" w:rsidRDefault="00AE3C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AE3C24" w:rsidRPr="00F70E87" w:rsidRDefault="00AE3C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025F99" w:rsidRPr="00643927" w:rsidRDefault="00025F9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025F99" w:rsidRPr="00643927" w:rsidRDefault="00025F9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025F99" w:rsidRPr="00643927" w:rsidRDefault="00025F9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025F99" w:rsidRPr="00F70E87" w:rsidRDefault="00025F99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36193" w:rsidRPr="00B36193">
      <w:rPr>
        <w:b/>
        <w:bCs/>
        <w:noProof/>
        <w:lang w:val="es-ES"/>
      </w:rPr>
      <w:t>18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36193" w:rsidRPr="00B36193">
      <w:rPr>
        <w:b/>
        <w:bCs/>
        <w:noProof/>
        <w:lang w:val="es-ES"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E20E2" w14:textId="77777777" w:rsidR="00547D9B" w:rsidRDefault="00547D9B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40FDF0F3" w14:textId="77777777" w:rsidR="00547D9B" w:rsidRDefault="00547D9B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AE3C24" w:rsidRPr="00177920" w:rsidRDefault="00AE3C24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AE3C24" w:rsidRDefault="00AE3C24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238E"/>
    <w:rsid w:val="001C325C"/>
    <w:rsid w:val="001C38A4"/>
    <w:rsid w:val="001C4852"/>
    <w:rsid w:val="001C59BC"/>
    <w:rsid w:val="001C5D9B"/>
    <w:rsid w:val="001C61F9"/>
    <w:rsid w:val="001C6588"/>
    <w:rsid w:val="001C71CC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3C2"/>
    <w:rsid w:val="0044758C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A10"/>
    <w:rsid w:val="004C4CCE"/>
    <w:rsid w:val="004C58D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DA6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3B46"/>
    <w:rsid w:val="005D3C67"/>
    <w:rsid w:val="005D4E72"/>
    <w:rsid w:val="005D566B"/>
    <w:rsid w:val="005D566E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ABA"/>
    <w:rsid w:val="00646303"/>
    <w:rsid w:val="00647288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B57"/>
    <w:rsid w:val="00682C0F"/>
    <w:rsid w:val="006830D2"/>
    <w:rsid w:val="0068402E"/>
    <w:rsid w:val="0068406C"/>
    <w:rsid w:val="00684A5D"/>
    <w:rsid w:val="006854B8"/>
    <w:rsid w:val="00685FB2"/>
    <w:rsid w:val="00686654"/>
    <w:rsid w:val="00686E01"/>
    <w:rsid w:val="00687660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ECA"/>
    <w:rsid w:val="00695FC3"/>
    <w:rsid w:val="00696117"/>
    <w:rsid w:val="0069628B"/>
    <w:rsid w:val="006A0928"/>
    <w:rsid w:val="006A0A0E"/>
    <w:rsid w:val="006A0B4F"/>
    <w:rsid w:val="006A0BB2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104C"/>
    <w:rsid w:val="006B1211"/>
    <w:rsid w:val="006B1243"/>
    <w:rsid w:val="006B1487"/>
    <w:rsid w:val="006B28FD"/>
    <w:rsid w:val="006B2D3C"/>
    <w:rsid w:val="006B343F"/>
    <w:rsid w:val="006B355B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97F"/>
    <w:rsid w:val="006F3E32"/>
    <w:rsid w:val="006F4BC5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40F8"/>
    <w:rsid w:val="00724128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21A5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1C09"/>
    <w:rsid w:val="00842584"/>
    <w:rsid w:val="00842707"/>
    <w:rsid w:val="008427CF"/>
    <w:rsid w:val="008428D4"/>
    <w:rsid w:val="0084306B"/>
    <w:rsid w:val="00843209"/>
    <w:rsid w:val="008436F0"/>
    <w:rsid w:val="00843D67"/>
    <w:rsid w:val="0084417F"/>
    <w:rsid w:val="00844651"/>
    <w:rsid w:val="0084485D"/>
    <w:rsid w:val="00845166"/>
    <w:rsid w:val="00847620"/>
    <w:rsid w:val="00847F1E"/>
    <w:rsid w:val="008506B5"/>
    <w:rsid w:val="00851A5C"/>
    <w:rsid w:val="0085226C"/>
    <w:rsid w:val="008526E7"/>
    <w:rsid w:val="00853867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4167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5131"/>
    <w:rsid w:val="00885C3D"/>
    <w:rsid w:val="008906D1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55E"/>
    <w:rsid w:val="008C28A9"/>
    <w:rsid w:val="008C33B2"/>
    <w:rsid w:val="008C3521"/>
    <w:rsid w:val="008C3DB7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793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C2B"/>
    <w:rsid w:val="00935082"/>
    <w:rsid w:val="00935825"/>
    <w:rsid w:val="00937D5A"/>
    <w:rsid w:val="00937FC6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453"/>
    <w:rsid w:val="009875F8"/>
    <w:rsid w:val="00987929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7DC7"/>
    <w:rsid w:val="00A80EE6"/>
    <w:rsid w:val="00A8156E"/>
    <w:rsid w:val="00A81742"/>
    <w:rsid w:val="00A8177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6AC"/>
    <w:rsid w:val="00B01B82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6574"/>
    <w:rsid w:val="00C46DA1"/>
    <w:rsid w:val="00C475DB"/>
    <w:rsid w:val="00C47C47"/>
    <w:rsid w:val="00C50092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41A7"/>
    <w:rsid w:val="00D44567"/>
    <w:rsid w:val="00D44BC8"/>
    <w:rsid w:val="00D45692"/>
    <w:rsid w:val="00D457D2"/>
    <w:rsid w:val="00D45D3A"/>
    <w:rsid w:val="00D45EBB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C4C"/>
    <w:rsid w:val="00F25E02"/>
    <w:rsid w:val="00F263F6"/>
    <w:rsid w:val="00F26505"/>
    <w:rsid w:val="00F26BB1"/>
    <w:rsid w:val="00F27DE8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CB78E4D6-6233-4F41-82A9-57C41A1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Gesti&#243;n%20y%20Reporte%20Gesti&#243;n%20de%20Peticiones%20junio%202020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Gesti&#243;n%20y%20Reporte%20Gesti&#243;n%20de%20Peticiones%20junio%202020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Gesti&#243;n%20y%20Reporte%20Gesti&#243;n%20de%20Peticiones%20junio%202020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Gesti&#243;n%20y%20Reporte%20Gesti&#243;n%20de%20Peticiones%20junio%202020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Gesti&#243;n%20y%20Reporte%20Gesti&#243;n%20de%20Peticiones%20junio%202020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y Reporte Gestión de Peticiones junio 2020 - CAJA DE LA VIVIENDA POPULAR.xlsx]recibidas!TablaDinámica1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1 - PQRSD Recibidas en junio de 2020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recibidas!$B$3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recibidas!$A$4:$A$5</c:f>
              <c:strCache>
                <c:ptCount val="1"/>
                <c:pt idx="0">
                  <c:v>PERIODO ACTUAL</c:v>
                </c:pt>
              </c:strCache>
            </c:strRef>
          </c:cat>
          <c:val>
            <c:numRef>
              <c:f>recibidas!$B$4:$B$5</c:f>
              <c:numCache>
                <c:formatCode>General</c:formatCode>
                <c:ptCount val="1"/>
                <c:pt idx="0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67-43DB-B6FD-F1746716E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49710559"/>
        <c:axId val="1749710975"/>
      </c:barChart>
      <c:catAx>
        <c:axId val="17497105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49710975"/>
        <c:crosses val="autoZero"/>
        <c:auto val="1"/>
        <c:lblAlgn val="ctr"/>
        <c:lblOffset val="100"/>
        <c:noMultiLvlLbl val="0"/>
      </c:catAx>
      <c:valAx>
        <c:axId val="1749710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49710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y Reporte Gestión de Peticiones junio 2020 - CAJA DE LA VIVIENDA POPULAR.xlsx]canales!TablaDinámica1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2 - PQRSD por Canales de Interacción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REDES SOCIALES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216</c:v>
                </c:pt>
                <c:pt idx="1">
                  <c:v>63</c:v>
                </c:pt>
                <c:pt idx="2">
                  <c:v>1</c:v>
                </c:pt>
                <c:pt idx="3">
                  <c:v>1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C-4FFA-AF97-4BFE446C2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91271791"/>
        <c:axId val="1791272207"/>
      </c:barChart>
      <c:catAx>
        <c:axId val="17912717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1272207"/>
        <c:crosses val="autoZero"/>
        <c:auto val="1"/>
        <c:lblAlgn val="ctr"/>
        <c:lblOffset val="100"/>
        <c:noMultiLvlLbl val="0"/>
      </c:catAx>
      <c:valAx>
        <c:axId val="1791272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1271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y Reporte Gestión de Peticiones junio 2020 - CAJA DE LA VIVIENDA POPULAR.xlsx]Hoja3!TablaDinámica2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3 - Tipologías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Hoja3!$B$4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Hoja3!$B$5:$B$13</c:f>
              <c:numCache>
                <c:formatCode>General</c:formatCode>
                <c:ptCount val="8"/>
                <c:pt idx="0">
                  <c:v>17</c:v>
                </c:pt>
                <c:pt idx="1">
                  <c:v>4</c:v>
                </c:pt>
                <c:pt idx="2">
                  <c:v>11</c:v>
                </c:pt>
                <c:pt idx="3">
                  <c:v>268</c:v>
                </c:pt>
                <c:pt idx="4">
                  <c:v>6</c:v>
                </c:pt>
                <c:pt idx="5">
                  <c:v>2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D-430F-8E01-6015F0F05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93587631"/>
        <c:axId val="1792424639"/>
      </c:barChart>
      <c:catAx>
        <c:axId val="17935876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2424639"/>
        <c:crosses val="autoZero"/>
        <c:auto val="1"/>
        <c:lblAlgn val="ctr"/>
        <c:lblOffset val="100"/>
        <c:noMultiLvlLbl val="0"/>
      </c:catAx>
      <c:valAx>
        <c:axId val="1792424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358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y Reporte Gestión de Peticiones junio 2020 - CAJA DE LA VIVIENDA POPULAR.xlsx]Hoja8!TablaDinámica6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N. 5 - PQRSD por Localidad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Hoja8!$B$4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Hoja8!$A$5:$A$14</c:f>
              <c:strCache>
                <c:ptCount val="9"/>
                <c:pt idx="0">
                  <c:v>04 - SAN CRISTOBAL</c:v>
                </c:pt>
                <c:pt idx="1">
                  <c:v>05 - USME</c:v>
                </c:pt>
                <c:pt idx="2">
                  <c:v>07 - BOSA</c:v>
                </c:pt>
                <c:pt idx="3">
                  <c:v>08 - KENNEDY</c:v>
                </c:pt>
                <c:pt idx="4">
                  <c:v>10 - ENGATIVA</c:v>
                </c:pt>
                <c:pt idx="5">
                  <c:v>16 - PUENTE ARANDA</c:v>
                </c:pt>
                <c:pt idx="6">
                  <c:v>18 - RAFAEL URIBE URIBE</c:v>
                </c:pt>
                <c:pt idx="7">
                  <c:v>19 - CIUDAD BOLIVAR</c:v>
                </c:pt>
                <c:pt idx="8">
                  <c:v>(en blanco)</c:v>
                </c:pt>
              </c:strCache>
            </c:strRef>
          </c:cat>
          <c:val>
            <c:numRef>
              <c:f>Hoja8!$B$5:$B$14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13</c:v>
                </c:pt>
                <c:pt idx="8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86-4A79-966F-02E2F4F3E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4073999"/>
        <c:axId val="1654075663"/>
      </c:barChart>
      <c:catAx>
        <c:axId val="1654073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4075663"/>
        <c:crosses val="autoZero"/>
        <c:auto val="1"/>
        <c:lblAlgn val="ctr"/>
        <c:lblOffset val="100"/>
        <c:noMultiLvlLbl val="0"/>
      </c:catAx>
      <c:valAx>
        <c:axId val="1654075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4073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y Reporte Gestión de Peticiones junio 2020 - CAJA DE LA VIVIENDA POPULAR.xlsx]Hoja10!TablaDinámica8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7-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Hoja10!$B$4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Hoja10!$A$5:$A$8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Hoja10!$B$5:$B$8</c:f>
              <c:numCache>
                <c:formatCode>General</c:formatCode>
                <c:ptCount val="3"/>
                <c:pt idx="0">
                  <c:v>2</c:v>
                </c:pt>
                <c:pt idx="1">
                  <c:v>313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7-4A26-A40B-790BF9A2E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698127"/>
        <c:axId val="1908698543"/>
      </c:barChart>
      <c:catAx>
        <c:axId val="1908698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8698543"/>
        <c:crosses val="autoZero"/>
        <c:auto val="1"/>
        <c:lblAlgn val="ctr"/>
        <c:lblOffset val="100"/>
        <c:noMultiLvlLbl val="0"/>
      </c:catAx>
      <c:valAx>
        <c:axId val="1908698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869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4230-3F4D-449A-B22F-A788D70D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2743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17796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2020-07-07T21:48:00Z</dcterms:created>
  <dcterms:modified xsi:type="dcterms:W3CDTF">2020-07-07T22:20:00Z</dcterms:modified>
</cp:coreProperties>
</file>