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4" w:rsidRPr="00933B84" w:rsidRDefault="00F86B14" w:rsidP="00DF7866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0" w:name="_GoBack"/>
      <w:bookmarkEnd w:id="0"/>
      <w:r w:rsidRPr="00933B84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B700D4" w:rsidRPr="00933B84" w:rsidRDefault="00B700D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B700D4" w:rsidRPr="00933B84" w:rsidRDefault="00B700D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1" w:name="_Hlk535403673"/>
      <w:r w:rsidRPr="00933B84">
        <w:rPr>
          <w:rFonts w:ascii="Arial" w:hAnsi="Arial" w:cs="Arial"/>
          <w:b/>
          <w:sz w:val="40"/>
          <w:szCs w:val="40"/>
        </w:rPr>
        <w:t xml:space="preserve">INFORME MENSUAL DE </w:t>
      </w:r>
      <w:r w:rsidR="00602298">
        <w:rPr>
          <w:rFonts w:ascii="Arial" w:hAnsi="Arial" w:cs="Arial"/>
          <w:b/>
          <w:sz w:val="40"/>
          <w:szCs w:val="40"/>
        </w:rPr>
        <w:t xml:space="preserve">GESTION Y </w:t>
      </w:r>
      <w:r w:rsidRPr="00933B84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1"/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F86B14" w:rsidRPr="00933B84" w:rsidRDefault="00F86B14" w:rsidP="00DF7866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933B84">
        <w:rPr>
          <w:rFonts w:ascii="Arial" w:hAnsi="Arial" w:cs="Arial"/>
          <w:b/>
          <w:sz w:val="40"/>
          <w:szCs w:val="40"/>
        </w:rPr>
        <w:t xml:space="preserve">Periodo: </w:t>
      </w:r>
      <w:r w:rsidR="00C44434">
        <w:rPr>
          <w:rFonts w:ascii="Arial" w:hAnsi="Arial" w:cs="Arial"/>
          <w:b/>
          <w:sz w:val="40"/>
          <w:szCs w:val="40"/>
        </w:rPr>
        <w:t>01</w:t>
      </w:r>
      <w:r w:rsidRPr="00933B84">
        <w:rPr>
          <w:rFonts w:ascii="Arial" w:hAnsi="Arial" w:cs="Arial"/>
          <w:b/>
          <w:sz w:val="40"/>
          <w:szCs w:val="40"/>
        </w:rPr>
        <w:t xml:space="preserve"> al </w:t>
      </w:r>
      <w:r w:rsidR="00C44434">
        <w:rPr>
          <w:rFonts w:ascii="Arial" w:hAnsi="Arial" w:cs="Arial"/>
          <w:b/>
          <w:sz w:val="40"/>
          <w:szCs w:val="40"/>
        </w:rPr>
        <w:t>31</w:t>
      </w:r>
      <w:r w:rsidRPr="00933B84">
        <w:rPr>
          <w:rFonts w:ascii="Arial" w:hAnsi="Arial" w:cs="Arial"/>
          <w:b/>
          <w:sz w:val="40"/>
          <w:szCs w:val="40"/>
        </w:rPr>
        <w:t xml:space="preserve"> de </w:t>
      </w:r>
      <w:r w:rsidR="00C44434">
        <w:rPr>
          <w:rFonts w:ascii="Arial" w:hAnsi="Arial" w:cs="Arial"/>
          <w:b/>
          <w:sz w:val="40"/>
          <w:szCs w:val="40"/>
        </w:rPr>
        <w:t>enero</w:t>
      </w:r>
      <w:r w:rsidRPr="00933B84">
        <w:rPr>
          <w:rFonts w:ascii="Arial" w:hAnsi="Arial" w:cs="Arial"/>
          <w:b/>
          <w:sz w:val="40"/>
          <w:szCs w:val="40"/>
        </w:rPr>
        <w:t xml:space="preserve"> de </w:t>
      </w:r>
      <w:r w:rsidR="00C44434">
        <w:rPr>
          <w:rFonts w:ascii="Arial" w:hAnsi="Arial" w:cs="Arial"/>
          <w:b/>
          <w:sz w:val="40"/>
          <w:szCs w:val="40"/>
        </w:rPr>
        <w:t>2019</w:t>
      </w: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EF599D" w:rsidRPr="00933B84" w:rsidRDefault="00EF599D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86B14" w:rsidRPr="00933B84" w:rsidRDefault="00F86B14" w:rsidP="00DF786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33B84">
        <w:rPr>
          <w:rFonts w:ascii="Arial" w:hAnsi="Arial" w:cs="Arial"/>
          <w:b/>
          <w:sz w:val="40"/>
          <w:szCs w:val="40"/>
        </w:rPr>
        <w:t xml:space="preserve">Bogotá D.C., </w:t>
      </w:r>
      <w:r w:rsidR="00C44434">
        <w:rPr>
          <w:rFonts w:ascii="Arial" w:hAnsi="Arial" w:cs="Arial"/>
          <w:b/>
          <w:sz w:val="40"/>
          <w:szCs w:val="40"/>
        </w:rPr>
        <w:t>11</w:t>
      </w:r>
      <w:r w:rsidRPr="00933B84">
        <w:rPr>
          <w:rFonts w:ascii="Arial" w:hAnsi="Arial" w:cs="Arial"/>
          <w:b/>
          <w:sz w:val="40"/>
          <w:szCs w:val="40"/>
        </w:rPr>
        <w:t xml:space="preserve"> de </w:t>
      </w:r>
      <w:r w:rsidR="00C44434">
        <w:rPr>
          <w:rFonts w:ascii="Arial" w:hAnsi="Arial" w:cs="Arial"/>
          <w:b/>
          <w:sz w:val="40"/>
          <w:szCs w:val="40"/>
        </w:rPr>
        <w:t xml:space="preserve">febrero </w:t>
      </w:r>
      <w:r w:rsidRPr="00933B84">
        <w:rPr>
          <w:rFonts w:ascii="Arial" w:hAnsi="Arial" w:cs="Arial"/>
          <w:b/>
          <w:sz w:val="40"/>
          <w:szCs w:val="40"/>
        </w:rPr>
        <w:t xml:space="preserve">de </w:t>
      </w:r>
      <w:r w:rsidR="00C44434">
        <w:rPr>
          <w:rFonts w:ascii="Arial" w:hAnsi="Arial" w:cs="Arial"/>
          <w:b/>
          <w:sz w:val="40"/>
          <w:szCs w:val="40"/>
        </w:rPr>
        <w:t>2019</w:t>
      </w:r>
    </w:p>
    <w:p w:rsidR="00F86B14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3B84" w:rsidRDefault="00933B8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Cs w:val="20"/>
          <w:lang w:val="es-ES" w:eastAsia="es-ES"/>
        </w:rPr>
        <w:id w:val="34490333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F86B14" w:rsidRPr="000733AB" w:rsidRDefault="00F86B14" w:rsidP="00171602">
          <w:pPr>
            <w:spacing w:after="0" w:line="360" w:lineRule="auto"/>
            <w:jc w:val="both"/>
            <w:rPr>
              <w:rFonts w:ascii="Arial" w:hAnsi="Arial" w:cs="Arial"/>
              <w:b/>
            </w:rPr>
          </w:pPr>
          <w:r w:rsidRPr="000733AB">
            <w:rPr>
              <w:rFonts w:ascii="Arial" w:hAnsi="Arial" w:cs="Arial"/>
              <w:b/>
              <w:lang w:val="es-ES"/>
            </w:rPr>
            <w:t xml:space="preserve">TABLA DE </w:t>
          </w:r>
          <w:r w:rsidRPr="000733AB">
            <w:rPr>
              <w:rFonts w:ascii="Arial" w:hAnsi="Arial" w:cs="Arial"/>
              <w:b/>
            </w:rPr>
            <w:t>CONTENIDO</w:t>
          </w:r>
        </w:p>
        <w:p w:rsidR="00F86B14" w:rsidRPr="000733AB" w:rsidRDefault="00F86B14" w:rsidP="00171602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0733AB">
            <w:rPr>
              <w:rFonts w:ascii="Arial" w:hAnsi="Arial" w:cs="Arial"/>
            </w:rPr>
            <w:t>INTRODUCCION</w:t>
          </w:r>
        </w:p>
        <w:p w:rsidR="004A1EB0" w:rsidRDefault="00F86B14">
          <w:pPr>
            <w:pStyle w:val="TDC1"/>
            <w:tabs>
              <w:tab w:val="left" w:pos="44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Cs w:val="22"/>
              <w:lang w:val="es-CO" w:eastAsia="es-CO"/>
            </w:rPr>
          </w:pPr>
          <w:r w:rsidRPr="000733AB">
            <w:rPr>
              <w:rFonts w:cs="Arial"/>
              <w:szCs w:val="22"/>
            </w:rPr>
            <w:fldChar w:fldCharType="begin"/>
          </w:r>
          <w:r w:rsidRPr="000733AB">
            <w:rPr>
              <w:rFonts w:cs="Arial"/>
              <w:szCs w:val="22"/>
            </w:rPr>
            <w:instrText xml:space="preserve"> TOC \o "1-4" \h \z \u </w:instrText>
          </w:r>
          <w:r w:rsidRPr="000733AB">
            <w:rPr>
              <w:rFonts w:cs="Arial"/>
              <w:szCs w:val="22"/>
            </w:rPr>
            <w:fldChar w:fldCharType="separate"/>
          </w:r>
          <w:hyperlink w:anchor="_Toc856308" w:history="1">
            <w:r w:rsidR="004A1EB0" w:rsidRPr="001620A4">
              <w:rPr>
                <w:rStyle w:val="Hipervnculo"/>
                <w:rFonts w:cs="Arial"/>
                <w:noProof/>
                <w:lang w:val="es-ES"/>
              </w:rPr>
              <w:t>1.</w:t>
            </w:r>
            <w:r w:rsidR="004A1EB0">
              <w:rPr>
                <w:rFonts w:asciiTheme="minorHAnsi" w:eastAsiaTheme="minorEastAsia" w:hAnsiTheme="minorHAnsi" w:cstheme="minorBidi"/>
                <w:noProof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noProof/>
                <w:lang w:val="es-ES"/>
              </w:rPr>
              <w:t>OBJETIVO Y ALCANCE</w:t>
            </w:r>
            <w:r w:rsidR="004A1EB0">
              <w:rPr>
                <w:noProof/>
                <w:webHidden/>
              </w:rPr>
              <w:tab/>
            </w:r>
            <w:r w:rsidR="004A1EB0">
              <w:rPr>
                <w:noProof/>
                <w:webHidden/>
              </w:rPr>
              <w:fldChar w:fldCharType="begin"/>
            </w:r>
            <w:r w:rsidR="004A1EB0">
              <w:rPr>
                <w:noProof/>
                <w:webHidden/>
              </w:rPr>
              <w:instrText xml:space="preserve"> PAGEREF _Toc856308 \h </w:instrText>
            </w:r>
            <w:r w:rsidR="004A1EB0">
              <w:rPr>
                <w:noProof/>
                <w:webHidden/>
              </w:rPr>
            </w:r>
            <w:r w:rsidR="004A1EB0">
              <w:rPr>
                <w:noProof/>
                <w:webHidden/>
              </w:rPr>
              <w:fldChar w:fldCharType="separate"/>
            </w:r>
            <w:r w:rsidR="00FC5DB1">
              <w:rPr>
                <w:noProof/>
                <w:webHidden/>
              </w:rPr>
              <w:t>4</w:t>
            </w:r>
            <w:r w:rsidR="004A1EB0">
              <w:rPr>
                <w:noProof/>
                <w:webHidden/>
              </w:rPr>
              <w:fldChar w:fldCharType="end"/>
            </w:r>
          </w:hyperlink>
        </w:p>
        <w:p w:rsidR="004A1EB0" w:rsidRDefault="008034A9">
          <w:pPr>
            <w:pStyle w:val="TDC1"/>
            <w:tabs>
              <w:tab w:val="left" w:pos="44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Cs w:val="22"/>
              <w:lang w:val="es-CO" w:eastAsia="es-CO"/>
            </w:rPr>
          </w:pPr>
          <w:hyperlink w:anchor="_Toc856309" w:history="1">
            <w:r w:rsidR="004A1EB0" w:rsidRPr="001620A4">
              <w:rPr>
                <w:rStyle w:val="Hipervnculo"/>
                <w:rFonts w:cs="Arial"/>
                <w:noProof/>
                <w:lang w:val="es-ES"/>
              </w:rPr>
              <w:t>2.</w:t>
            </w:r>
            <w:r w:rsidR="004A1EB0">
              <w:rPr>
                <w:rFonts w:asciiTheme="minorHAnsi" w:eastAsiaTheme="minorEastAsia" w:hAnsiTheme="minorHAnsi" w:cstheme="minorBidi"/>
                <w:noProof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noProof/>
                <w:lang w:val="es-ES"/>
              </w:rPr>
              <w:t>METODOLOGÍA</w:t>
            </w:r>
            <w:r w:rsidR="004A1EB0">
              <w:rPr>
                <w:noProof/>
                <w:webHidden/>
              </w:rPr>
              <w:tab/>
            </w:r>
            <w:r w:rsidR="004A1EB0">
              <w:rPr>
                <w:noProof/>
                <w:webHidden/>
              </w:rPr>
              <w:fldChar w:fldCharType="begin"/>
            </w:r>
            <w:r w:rsidR="004A1EB0">
              <w:rPr>
                <w:noProof/>
                <w:webHidden/>
              </w:rPr>
              <w:instrText xml:space="preserve"> PAGEREF _Toc856309 \h </w:instrText>
            </w:r>
            <w:r w:rsidR="004A1EB0">
              <w:rPr>
                <w:noProof/>
                <w:webHidden/>
              </w:rPr>
            </w:r>
            <w:r w:rsidR="004A1EB0">
              <w:rPr>
                <w:noProof/>
                <w:webHidden/>
              </w:rPr>
              <w:fldChar w:fldCharType="separate"/>
            </w:r>
            <w:r w:rsidR="00FC5DB1">
              <w:rPr>
                <w:noProof/>
                <w:webHidden/>
              </w:rPr>
              <w:t>4</w:t>
            </w:r>
            <w:r w:rsidR="004A1EB0">
              <w:rPr>
                <w:noProof/>
                <w:webHidden/>
              </w:rPr>
              <w:fldChar w:fldCharType="end"/>
            </w:r>
          </w:hyperlink>
        </w:p>
        <w:p w:rsidR="004A1EB0" w:rsidRDefault="008034A9">
          <w:pPr>
            <w:pStyle w:val="TDC1"/>
            <w:tabs>
              <w:tab w:val="left" w:pos="44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Cs w:val="22"/>
              <w:lang w:val="es-CO" w:eastAsia="es-CO"/>
            </w:rPr>
          </w:pPr>
          <w:hyperlink w:anchor="_Toc856310" w:history="1">
            <w:r w:rsidR="004A1EB0" w:rsidRPr="001620A4">
              <w:rPr>
                <w:rStyle w:val="Hipervnculo"/>
                <w:rFonts w:cs="Arial"/>
                <w:noProof/>
              </w:rPr>
              <w:t>3.</w:t>
            </w:r>
            <w:r w:rsidR="004A1EB0">
              <w:rPr>
                <w:rFonts w:asciiTheme="minorHAnsi" w:eastAsiaTheme="minorEastAsia" w:hAnsiTheme="minorHAnsi" w:cstheme="minorBidi"/>
                <w:noProof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noProof/>
              </w:rPr>
              <w:t>GESTION DE LAS PQRSD RECIBIDAS EN EL MES DE ENERO</w:t>
            </w:r>
            <w:r w:rsidR="004A1EB0">
              <w:rPr>
                <w:noProof/>
                <w:webHidden/>
              </w:rPr>
              <w:tab/>
            </w:r>
            <w:r w:rsidR="004A1EB0">
              <w:rPr>
                <w:noProof/>
                <w:webHidden/>
              </w:rPr>
              <w:fldChar w:fldCharType="begin"/>
            </w:r>
            <w:r w:rsidR="004A1EB0">
              <w:rPr>
                <w:noProof/>
                <w:webHidden/>
              </w:rPr>
              <w:instrText xml:space="preserve"> PAGEREF _Toc856310 \h </w:instrText>
            </w:r>
            <w:r w:rsidR="004A1EB0">
              <w:rPr>
                <w:noProof/>
                <w:webHidden/>
              </w:rPr>
            </w:r>
            <w:r w:rsidR="004A1EB0">
              <w:rPr>
                <w:noProof/>
                <w:webHidden/>
              </w:rPr>
              <w:fldChar w:fldCharType="separate"/>
            </w:r>
            <w:r w:rsidR="00FC5DB1">
              <w:rPr>
                <w:noProof/>
                <w:webHidden/>
              </w:rPr>
              <w:t>5</w:t>
            </w:r>
            <w:r w:rsidR="004A1EB0">
              <w:rPr>
                <w:noProof/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1" w:history="1">
            <w:r w:rsidR="004A1EB0" w:rsidRPr="001620A4">
              <w:rPr>
                <w:rStyle w:val="Hipervnculo"/>
                <w:rFonts w:cs="Arial"/>
              </w:rPr>
              <w:t>3.1.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Numero de PQRSD Recibidas y Solucionadas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_Toc856311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5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2" w:history="1">
            <w:r w:rsidR="004A1EB0" w:rsidRPr="001620A4">
              <w:rPr>
                <w:rStyle w:val="Hipervnculo"/>
                <w:rFonts w:cs="Arial"/>
              </w:rPr>
              <w:t>3.2.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Canales de Interacción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_Toc856312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7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3" w:history="1">
            <w:r w:rsidR="004A1EB0" w:rsidRPr="001620A4">
              <w:rPr>
                <w:rStyle w:val="Hipervnculo"/>
                <w:rFonts w:cs="Arial"/>
              </w:rPr>
              <w:t>3.3.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Tipologías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_Toc856313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8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4" w:history="1">
            <w:r w:rsidR="004A1EB0" w:rsidRPr="001620A4">
              <w:rPr>
                <w:rStyle w:val="Hipervnculo"/>
                <w:rFonts w:cs="Arial"/>
              </w:rPr>
              <w:t>3.4.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Subtemas Más Reiterados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_Toc856314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9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5" w:history="1">
            <w:r w:rsidR="004A1EB0" w:rsidRPr="001620A4">
              <w:rPr>
                <w:rStyle w:val="Hipervnculo"/>
                <w:rFonts w:cs="Arial"/>
              </w:rPr>
              <w:t>3.5.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Numero de PQRSD Traslado por No Competencia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_Toc856315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9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6" w:history="1">
            <w:r w:rsidR="004A1EB0" w:rsidRPr="001620A4">
              <w:rPr>
                <w:rStyle w:val="Hipervnculo"/>
                <w:rFonts w:cs="Arial"/>
              </w:rPr>
              <w:t>3.6.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Subtema Veedurías Ciudadanas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_Toc856316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10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7" w:history="1">
            <w:r w:rsidR="004A1EB0" w:rsidRPr="001620A4">
              <w:rPr>
                <w:rStyle w:val="Hipervnculo"/>
                <w:rFonts w:cs="Arial"/>
              </w:rPr>
              <w:t>3.7.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Participación por Localidad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_Toc856317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10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8" w:history="1">
            <w:r w:rsidR="004A1EB0" w:rsidRPr="001620A4">
              <w:rPr>
                <w:rStyle w:val="Hipervnculo"/>
                <w:rFonts w:cs="Arial"/>
              </w:rPr>
              <w:t>3.8.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Participación por Estrato Socioeconomico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_Toc856318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11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19" w:history="1">
            <w:r w:rsidR="004A1EB0" w:rsidRPr="001620A4">
              <w:rPr>
                <w:rStyle w:val="Hipervnculo"/>
                <w:rFonts w:cs="Arial"/>
              </w:rPr>
              <w:t>3.9.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Tipo de Requiriente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_Toc856319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11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0" w:history="1">
            <w:r w:rsidR="004A1EB0" w:rsidRPr="001620A4">
              <w:rPr>
                <w:rStyle w:val="Hipervnculo"/>
                <w:rFonts w:cs="Arial"/>
              </w:rPr>
              <w:t>3.10.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Calidad del Requiriente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_Toc856320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12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>
          <w:pPr>
            <w:pStyle w:val="TDC1"/>
            <w:tabs>
              <w:tab w:val="left" w:pos="44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Cs w:val="22"/>
              <w:lang w:val="es-CO" w:eastAsia="es-CO"/>
            </w:rPr>
          </w:pPr>
          <w:hyperlink w:anchor="_Toc856321" w:history="1">
            <w:r w:rsidR="004A1EB0" w:rsidRPr="001620A4">
              <w:rPr>
                <w:rStyle w:val="Hipervnculo"/>
                <w:rFonts w:cs="Arial"/>
                <w:noProof/>
              </w:rPr>
              <w:t>4.</w:t>
            </w:r>
            <w:r w:rsidR="004A1EB0">
              <w:rPr>
                <w:rFonts w:asciiTheme="minorHAnsi" w:eastAsiaTheme="minorEastAsia" w:hAnsiTheme="minorHAnsi" w:cstheme="minorBidi"/>
                <w:noProof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noProof/>
              </w:rPr>
              <w:t>OPORTUNIDAD DE RESPUESTA A LAS PQRSD EN EL MES DE ENERO</w:t>
            </w:r>
            <w:r w:rsidR="004A1EB0">
              <w:rPr>
                <w:noProof/>
                <w:webHidden/>
              </w:rPr>
              <w:tab/>
            </w:r>
            <w:r w:rsidR="004A1EB0">
              <w:rPr>
                <w:noProof/>
                <w:webHidden/>
              </w:rPr>
              <w:fldChar w:fldCharType="begin"/>
            </w:r>
            <w:r w:rsidR="004A1EB0">
              <w:rPr>
                <w:noProof/>
                <w:webHidden/>
              </w:rPr>
              <w:instrText xml:space="preserve"> PAGEREF _Toc856321 \h </w:instrText>
            </w:r>
            <w:r w:rsidR="004A1EB0">
              <w:rPr>
                <w:noProof/>
                <w:webHidden/>
              </w:rPr>
            </w:r>
            <w:r w:rsidR="004A1EB0">
              <w:rPr>
                <w:noProof/>
                <w:webHidden/>
              </w:rPr>
              <w:fldChar w:fldCharType="separate"/>
            </w:r>
            <w:r w:rsidR="00FC5DB1">
              <w:rPr>
                <w:noProof/>
                <w:webHidden/>
              </w:rPr>
              <w:t>13</w:t>
            </w:r>
            <w:r w:rsidR="004A1EB0">
              <w:rPr>
                <w:noProof/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2" w:history="1">
            <w:r w:rsidR="004A1EB0" w:rsidRPr="001620A4">
              <w:rPr>
                <w:rStyle w:val="Hipervnculo"/>
                <w:rFonts w:cs="Arial"/>
              </w:rPr>
              <w:t>4.1.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PQRSD Cerradas Presentadas en el Período Actual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_Toc856322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13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3" w:history="1">
            <w:r w:rsidR="004A1EB0" w:rsidRPr="001620A4">
              <w:rPr>
                <w:rStyle w:val="Hipervnculo"/>
                <w:rFonts w:cs="Arial"/>
              </w:rPr>
              <w:t>4.2.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PQRSD Cerradas Presentadas en los Periodo(s) Anterior(es)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_Toc856323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14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Pr="004342AE" w:rsidRDefault="008034A9" w:rsidP="004342AE">
          <w:pPr>
            <w:pStyle w:val="TDC2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856324" w:history="1">
            <w:r w:rsidR="004A1EB0" w:rsidRPr="004342AE">
              <w:rPr>
                <w:rStyle w:val="Hipervnculo"/>
                <w:rFonts w:cs="Arial"/>
              </w:rPr>
              <w:t>4.3.</w:t>
            </w:r>
            <w:r w:rsidR="004A1EB0" w:rsidRPr="004342AE">
              <w:rPr>
                <w:rFonts w:asciiTheme="minorHAnsi" w:eastAsiaTheme="minorEastAsia" w:hAnsiTheme="minorHAnsi" w:cstheme="minorBidi"/>
                <w:lang w:val="es-CO" w:eastAsia="es-CO"/>
              </w:rPr>
              <w:tab/>
            </w:r>
            <w:r w:rsidR="004A1EB0" w:rsidRPr="004342AE">
              <w:rPr>
                <w:rStyle w:val="Hipervnculo"/>
                <w:rFonts w:cs="Arial"/>
              </w:rPr>
              <w:t>Calculo del Tiempo Promedio de Respuesta por Tipología y Dependencia a las PQRSD</w:t>
            </w:r>
            <w:r w:rsidR="004A1EB0" w:rsidRPr="004342AE">
              <w:rPr>
                <w:webHidden/>
              </w:rPr>
              <w:tab/>
            </w:r>
            <w:r w:rsidR="004A1EB0" w:rsidRPr="004342AE">
              <w:rPr>
                <w:webHidden/>
              </w:rPr>
              <w:fldChar w:fldCharType="begin"/>
            </w:r>
            <w:r w:rsidR="004A1EB0" w:rsidRPr="004342AE">
              <w:rPr>
                <w:webHidden/>
              </w:rPr>
              <w:instrText xml:space="preserve"> PAGEREF _Toc856324 \h </w:instrText>
            </w:r>
            <w:r w:rsidR="004A1EB0" w:rsidRPr="004342AE">
              <w:rPr>
                <w:webHidden/>
              </w:rPr>
            </w:r>
            <w:r w:rsidR="004A1EB0" w:rsidRPr="004342AE">
              <w:rPr>
                <w:webHidden/>
              </w:rPr>
              <w:fldChar w:fldCharType="separate"/>
            </w:r>
            <w:r w:rsidR="00FC5DB1" w:rsidRPr="004342AE">
              <w:rPr>
                <w:webHidden/>
              </w:rPr>
              <w:t>15</w:t>
            </w:r>
            <w:r w:rsidR="004A1EB0" w:rsidRPr="004342AE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5" w:history="1">
            <w:r w:rsidR="004A1EB0" w:rsidRPr="001620A4">
              <w:rPr>
                <w:rStyle w:val="Hipervnculo"/>
                <w:rFonts w:cs="Arial"/>
                <w:lang w:val="es-ES"/>
              </w:rPr>
              <w:t>4.4.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lang w:val="es-ES"/>
              </w:rPr>
              <w:t>Análisis de las Respuestas con Cierre</w:t>
            </w:r>
            <w:r w:rsidR="004A1EB0" w:rsidRPr="001620A4">
              <w:rPr>
                <w:rStyle w:val="Hipervnculo"/>
                <w:rFonts w:cs="Arial"/>
              </w:rPr>
              <w:t xml:space="preserve"> </w:t>
            </w:r>
            <w:r w:rsidR="004A1EB0" w:rsidRPr="001620A4">
              <w:rPr>
                <w:rStyle w:val="Hipervnculo"/>
                <w:rFonts w:cs="Arial"/>
                <w:lang w:val="es-ES"/>
              </w:rPr>
              <w:t>Oportuno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_Toc856325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16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6" w:history="1">
            <w:r w:rsidR="004A1EB0" w:rsidRPr="001620A4">
              <w:rPr>
                <w:rStyle w:val="Hipervnculo"/>
                <w:rFonts w:cs="Arial"/>
              </w:rPr>
              <w:t>4.5.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lang w:val="es-ES"/>
              </w:rPr>
              <w:t>Análisis de las Respuestas con Cierre</w:t>
            </w:r>
            <w:r w:rsidR="004A1EB0" w:rsidRPr="001620A4">
              <w:rPr>
                <w:rStyle w:val="Hipervnculo"/>
                <w:rFonts w:cs="Arial"/>
              </w:rPr>
              <w:t xml:space="preserve"> Inoportuno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_Toc856326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17</w:t>
            </w:r>
            <w:r w:rsidR="004A1EB0">
              <w:rPr>
                <w:webHidden/>
              </w:rPr>
              <w:fldChar w:fldCharType="end"/>
            </w:r>
          </w:hyperlink>
        </w:p>
        <w:p w:rsidR="004A1EB0" w:rsidRDefault="008034A9" w:rsidP="004342AE">
          <w:pPr>
            <w:pStyle w:val="TDC2"/>
            <w:rPr>
              <w:rFonts w:asciiTheme="minorHAnsi" w:eastAsiaTheme="minorEastAsia" w:hAnsiTheme="minorHAnsi" w:cstheme="minorBidi"/>
              <w:szCs w:val="22"/>
              <w:lang w:val="es-CO" w:eastAsia="es-CO"/>
            </w:rPr>
          </w:pPr>
          <w:hyperlink w:anchor="_Toc856327" w:history="1">
            <w:r w:rsidR="004A1EB0" w:rsidRPr="001620A4">
              <w:rPr>
                <w:rStyle w:val="Hipervnculo"/>
                <w:rFonts w:cs="Arial"/>
              </w:rPr>
              <w:t>4.6.</w:t>
            </w:r>
            <w:r w:rsidR="004A1EB0">
              <w:rPr>
                <w:rFonts w:asciiTheme="minorHAnsi" w:eastAsiaTheme="minorEastAsia" w:hAnsiTheme="minorHAnsi" w:cstheme="minorBidi"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</w:rPr>
              <w:t>CÁLCULO DEL INDICADOR</w:t>
            </w:r>
            <w:r w:rsidR="004A1EB0">
              <w:rPr>
                <w:webHidden/>
              </w:rPr>
              <w:tab/>
            </w:r>
            <w:r w:rsidR="004A1EB0">
              <w:rPr>
                <w:webHidden/>
              </w:rPr>
              <w:fldChar w:fldCharType="begin"/>
            </w:r>
            <w:r w:rsidR="004A1EB0">
              <w:rPr>
                <w:webHidden/>
              </w:rPr>
              <w:instrText xml:space="preserve"> PAGEREF _Toc856327 \h </w:instrText>
            </w:r>
            <w:r w:rsidR="004A1EB0">
              <w:rPr>
                <w:webHidden/>
              </w:rPr>
            </w:r>
            <w:r w:rsidR="004A1EB0">
              <w:rPr>
                <w:webHidden/>
              </w:rPr>
              <w:fldChar w:fldCharType="separate"/>
            </w:r>
            <w:r w:rsidR="00FC5DB1">
              <w:rPr>
                <w:webHidden/>
              </w:rPr>
              <w:t>18</w:t>
            </w:r>
            <w:r w:rsidR="004A1EB0">
              <w:rPr>
                <w:webHidden/>
              </w:rPr>
              <w:fldChar w:fldCharType="end"/>
            </w:r>
          </w:hyperlink>
        </w:p>
        <w:p w:rsidR="00F86B14" w:rsidRPr="00DF7866" w:rsidRDefault="008034A9" w:rsidP="004A1EB0">
          <w:pPr>
            <w:pStyle w:val="TDC1"/>
            <w:tabs>
              <w:tab w:val="left" w:pos="440"/>
              <w:tab w:val="right" w:leader="dot" w:pos="9395"/>
            </w:tabs>
            <w:rPr>
              <w:rFonts w:cs="Arial"/>
              <w:b/>
              <w:bCs/>
              <w:sz w:val="24"/>
              <w:szCs w:val="24"/>
              <w:lang w:val="es-ES"/>
            </w:rPr>
          </w:pPr>
          <w:hyperlink w:anchor="_Toc856328" w:history="1">
            <w:r w:rsidR="004A1EB0" w:rsidRPr="001620A4">
              <w:rPr>
                <w:rStyle w:val="Hipervnculo"/>
                <w:rFonts w:cs="Arial"/>
                <w:noProof/>
              </w:rPr>
              <w:t>5.</w:t>
            </w:r>
            <w:r w:rsidR="004A1EB0">
              <w:rPr>
                <w:rFonts w:asciiTheme="minorHAnsi" w:eastAsiaTheme="minorEastAsia" w:hAnsiTheme="minorHAnsi" w:cstheme="minorBidi"/>
                <w:noProof/>
                <w:szCs w:val="22"/>
                <w:lang w:val="es-CO" w:eastAsia="es-CO"/>
              </w:rPr>
              <w:tab/>
            </w:r>
            <w:r w:rsidR="004A1EB0" w:rsidRPr="001620A4">
              <w:rPr>
                <w:rStyle w:val="Hipervnculo"/>
                <w:rFonts w:cs="Arial"/>
                <w:noProof/>
              </w:rPr>
              <w:t>CONCLUSIONES</w:t>
            </w:r>
            <w:r w:rsidR="004A1EB0">
              <w:rPr>
                <w:noProof/>
                <w:webHidden/>
              </w:rPr>
              <w:tab/>
            </w:r>
            <w:r w:rsidR="004A1EB0">
              <w:rPr>
                <w:noProof/>
                <w:webHidden/>
              </w:rPr>
              <w:fldChar w:fldCharType="begin"/>
            </w:r>
            <w:r w:rsidR="004A1EB0">
              <w:rPr>
                <w:noProof/>
                <w:webHidden/>
              </w:rPr>
              <w:instrText xml:space="preserve"> PAGEREF _Toc856328 \h </w:instrText>
            </w:r>
            <w:r w:rsidR="004A1EB0">
              <w:rPr>
                <w:noProof/>
                <w:webHidden/>
              </w:rPr>
            </w:r>
            <w:r w:rsidR="004A1EB0">
              <w:rPr>
                <w:noProof/>
                <w:webHidden/>
              </w:rPr>
              <w:fldChar w:fldCharType="separate"/>
            </w:r>
            <w:r w:rsidR="00FC5DB1">
              <w:rPr>
                <w:noProof/>
                <w:webHidden/>
              </w:rPr>
              <w:t>19</w:t>
            </w:r>
            <w:r w:rsidR="004A1EB0">
              <w:rPr>
                <w:noProof/>
                <w:webHidden/>
              </w:rPr>
              <w:fldChar w:fldCharType="end"/>
            </w:r>
          </w:hyperlink>
          <w:r w:rsidR="00F86B14" w:rsidRPr="000733AB">
            <w:rPr>
              <w:rFonts w:cs="Arial"/>
            </w:rPr>
            <w:fldChar w:fldCharType="end"/>
          </w:r>
        </w:p>
      </w:sdtContent>
    </w:sdt>
    <w:p w:rsidR="004342AE" w:rsidRDefault="004342AE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342AE" w:rsidRDefault="004342AE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342AE" w:rsidRDefault="004342AE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F7866">
        <w:rPr>
          <w:rFonts w:ascii="Arial" w:hAnsi="Arial" w:cs="Arial"/>
          <w:b/>
          <w:sz w:val="24"/>
          <w:szCs w:val="24"/>
          <w:lang w:val="es-ES"/>
        </w:rPr>
        <w:lastRenderedPageBreak/>
        <w:t>INTRODUCCION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En el presente informe se realiza el análisis a la oportunidad de las respuestas a las Peticiones, Quejas, Reclamos, Sugerencias y Denuncias por Actos de Corrupción (PQRSD) que fueron interpuestas ante la Caja de la Vivienda Popular (CVP) durante el mes de </w:t>
      </w:r>
      <w:r w:rsidR="006315FF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y que tenían fecha de cierre en él mismo mes, además de las que se interpusieron en el(los) mes(es) anterior(es) del </w:t>
      </w:r>
      <w:r w:rsidR="006315FF">
        <w:rPr>
          <w:rFonts w:ascii="Arial" w:hAnsi="Arial" w:cs="Arial"/>
          <w:sz w:val="24"/>
          <w:szCs w:val="24"/>
          <w:lang w:val="es-ES"/>
        </w:rPr>
        <w:t>2018</w:t>
      </w:r>
      <w:r w:rsidRPr="00DF7866">
        <w:rPr>
          <w:rFonts w:ascii="Arial" w:hAnsi="Arial" w:cs="Arial"/>
          <w:sz w:val="24"/>
          <w:szCs w:val="24"/>
          <w:lang w:val="es-ES"/>
        </w:rPr>
        <w:t>, las cuales tenían fecha límite de respuesta el presente mes de análisis o no fueron solucionadas oportunamente.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En este documento se analizarán las tipologías interpuestas, las dependencias receptoras y emisoras de las PQRSD y los tiempos promedios de respuestas en días hábiles, con el fin de determinar el indicador de eficacia de las respuestas a las PQRSD generadas. De igual forma se realiza un análisis a las PQRSD que no fueron contestadas en el tiempo que determina la ley.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La base para este </w:t>
      </w:r>
      <w:r w:rsidR="006315FF" w:rsidRPr="00DF7866">
        <w:rPr>
          <w:rFonts w:ascii="Arial" w:hAnsi="Arial" w:cs="Arial"/>
          <w:sz w:val="24"/>
          <w:szCs w:val="24"/>
          <w:lang w:val="es-ES"/>
        </w:rPr>
        <w:t>análisis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es todo el universo de PQRSD que recibió la CVP a través de sus diferentes canales de atención durante </w:t>
      </w:r>
      <w:r w:rsidR="006315FF">
        <w:rPr>
          <w:rFonts w:ascii="Arial" w:hAnsi="Arial" w:cs="Arial"/>
          <w:sz w:val="24"/>
          <w:szCs w:val="24"/>
          <w:lang w:val="es-ES"/>
        </w:rPr>
        <w:t>e</w:t>
      </w:r>
      <w:r w:rsidRPr="00DF7866">
        <w:rPr>
          <w:rFonts w:ascii="Arial" w:hAnsi="Arial" w:cs="Arial"/>
          <w:sz w:val="24"/>
          <w:szCs w:val="24"/>
          <w:lang w:val="es-ES"/>
        </w:rPr>
        <w:t>l</w:t>
      </w:r>
      <w:r w:rsidR="006315FF">
        <w:rPr>
          <w:rFonts w:ascii="Arial" w:hAnsi="Arial" w:cs="Arial"/>
          <w:sz w:val="24"/>
          <w:szCs w:val="24"/>
          <w:lang w:val="es-ES"/>
        </w:rPr>
        <w:t xml:space="preserve"> </w:t>
      </w:r>
      <w:r w:rsidR="00D17765">
        <w:rPr>
          <w:rFonts w:ascii="Arial" w:hAnsi="Arial" w:cs="Arial"/>
          <w:sz w:val="24"/>
          <w:szCs w:val="24"/>
          <w:lang w:val="es-ES"/>
        </w:rPr>
        <w:t>mes de enero</w:t>
      </w:r>
      <w:r w:rsidR="00D162F7"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="00D17765">
        <w:rPr>
          <w:rFonts w:ascii="Arial" w:hAnsi="Arial" w:cs="Arial"/>
          <w:sz w:val="24"/>
          <w:szCs w:val="24"/>
          <w:lang w:val="es-ES"/>
        </w:rPr>
        <w:t xml:space="preserve">de 2019 y el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último mes del </w:t>
      </w:r>
      <w:r w:rsidR="00D17765">
        <w:rPr>
          <w:rFonts w:ascii="Arial" w:hAnsi="Arial" w:cs="Arial"/>
          <w:sz w:val="24"/>
          <w:szCs w:val="24"/>
          <w:lang w:val="es-ES"/>
        </w:rPr>
        <w:t>2018</w:t>
      </w:r>
      <w:r w:rsidRPr="00DF7866">
        <w:rPr>
          <w:rFonts w:ascii="Arial" w:hAnsi="Arial" w:cs="Arial"/>
          <w:sz w:val="24"/>
          <w:szCs w:val="24"/>
          <w:lang w:val="es-ES"/>
        </w:rPr>
        <w:t>, las cuales tenían vencimiento en este mes de análisis.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Se debe aclarar que se tomó como fecha de inicio de los términos de ley, la fecha en el cual las PQRSD quedaron inscritas en el Sistema Distrital de Quejas y Soluciones (SDQS) (</w:t>
      </w:r>
      <w:hyperlink r:id="rId8" w:history="1">
        <w:r w:rsidRPr="00DF7866">
          <w:rPr>
            <w:rStyle w:val="Hipervnculo"/>
            <w:rFonts w:ascii="Arial" w:hAnsi="Arial" w:cs="Arial"/>
            <w:sz w:val="24"/>
            <w:szCs w:val="24"/>
            <w:lang w:val="es-ES"/>
          </w:rPr>
          <w:t>www.bogota.gov.co/sdqs</w:t>
        </w:r>
      </w:hyperlink>
      <w:r w:rsidRPr="00DF7866">
        <w:rPr>
          <w:rFonts w:ascii="Arial" w:hAnsi="Arial" w:cs="Arial"/>
          <w:sz w:val="24"/>
          <w:szCs w:val="24"/>
          <w:lang w:val="es-ES"/>
        </w:rPr>
        <w:t>), atendiendo los lineamientos de la Secretaría General de la Alcaldía Mayor de Bogotá D.C.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Se estableció que para la medición se tomaría el indicador de Tipo Eficacia, que tiene como objetivo medir el cumplimiento en las respuestas a las PQRSD interpuestas por el Ciudadano por parte de la CVP. Para ello se estableció la siguiente fórmula para su cálculo: </w:t>
      </w: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962E2" w:rsidRPr="00DF7866" w:rsidRDefault="003962E2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B14" w:rsidRPr="00DF7866" w:rsidRDefault="00F86B1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Eficacia=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Numero total de respuestas emitidas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a las PQRSD en el mes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 xml:space="preserve">Numero total de PQRSD que deben ser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solucionadas en el mes</m:t>
                  </m:r>
                </m:e>
              </m:eqAr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*100</m:t>
          </m:r>
        </m:oMath>
      </m:oMathPara>
    </w:p>
    <w:p w:rsidR="00F86B14" w:rsidRPr="00DF7866" w:rsidRDefault="00F86B14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507" w:rsidRPr="00DF7866" w:rsidRDefault="00212507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B14" w:rsidRPr="00DF7866" w:rsidRDefault="00F86B14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94A" w:rsidRPr="00DF7866" w:rsidRDefault="0078694A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5E3" w:rsidRPr="00DF7866" w:rsidRDefault="00E505E3" w:rsidP="00DF7866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ES"/>
        </w:rPr>
      </w:pPr>
      <w:bookmarkStart w:id="2" w:name="_Toc856308"/>
      <w:r w:rsidRPr="00DF7866">
        <w:rPr>
          <w:rFonts w:cs="Arial"/>
          <w:szCs w:val="24"/>
          <w:lang w:val="es-ES"/>
        </w:rPr>
        <w:lastRenderedPageBreak/>
        <w:t>OBJETIVO Y ALCANCE</w:t>
      </w:r>
      <w:bookmarkEnd w:id="2"/>
      <w:r w:rsidRPr="00DF7866">
        <w:rPr>
          <w:rFonts w:cs="Arial"/>
          <w:szCs w:val="24"/>
          <w:lang w:val="es-ES"/>
        </w:rPr>
        <w:t xml:space="preserve"> 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El objetivo principal es determinar el tiempo promedio empleado para resolver y registrar la respuesta definitiva en el SDQS, por las diferentes dependencias responsables de la solución a las PQRSD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Para ello se realizará un análisis por dependencia y por tipología de PQRSD, lo que permitirá conocer la</w:t>
      </w:r>
      <w:r w:rsidR="00AC4452">
        <w:rPr>
          <w:rFonts w:ascii="Arial" w:hAnsi="Arial" w:cs="Arial"/>
          <w:sz w:val="24"/>
          <w:szCs w:val="24"/>
          <w:lang w:val="es-ES"/>
        </w:rPr>
        <w:t xml:space="preserve"> gestión y </w:t>
      </w:r>
      <w:r w:rsidRPr="00DF7866">
        <w:rPr>
          <w:rFonts w:ascii="Arial" w:hAnsi="Arial" w:cs="Arial"/>
          <w:sz w:val="24"/>
          <w:szCs w:val="24"/>
          <w:lang w:val="es-ES"/>
        </w:rPr>
        <w:t>oportunidad a las respuestas tanto por dependencia como por la CVP.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El análisis que se realiza es a las PQRSD interpuestas en </w:t>
      </w:r>
      <w:r w:rsidR="00AC4452">
        <w:rPr>
          <w:rFonts w:ascii="Arial" w:hAnsi="Arial" w:cs="Arial"/>
          <w:sz w:val="24"/>
          <w:szCs w:val="24"/>
          <w:lang w:val="es-ES"/>
        </w:rPr>
        <w:t>enero de 2019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las cuales tienen vencimiento de ley en este mes de análisis, </w:t>
      </w:r>
      <w:r w:rsidR="00AC4452">
        <w:rPr>
          <w:rFonts w:ascii="Arial" w:hAnsi="Arial" w:cs="Arial"/>
          <w:sz w:val="24"/>
          <w:szCs w:val="24"/>
          <w:lang w:val="es-ES"/>
        </w:rPr>
        <w:t xml:space="preserve">y las que </w:t>
      </w:r>
      <w:r w:rsidRPr="00DF7866">
        <w:rPr>
          <w:rFonts w:ascii="Arial" w:hAnsi="Arial" w:cs="Arial"/>
          <w:sz w:val="24"/>
          <w:szCs w:val="24"/>
          <w:lang w:val="es-ES"/>
        </w:rPr>
        <w:t>no fueron solucionadas en</w:t>
      </w:r>
      <w:r w:rsidR="00AC4452">
        <w:rPr>
          <w:rFonts w:ascii="Arial" w:hAnsi="Arial" w:cs="Arial"/>
          <w:sz w:val="24"/>
          <w:szCs w:val="24"/>
          <w:lang w:val="es-ES"/>
        </w:rPr>
        <w:t xml:space="preserve"> el(</w:t>
      </w:r>
      <w:r w:rsidRPr="00DF7866">
        <w:rPr>
          <w:rFonts w:ascii="Arial" w:hAnsi="Arial" w:cs="Arial"/>
          <w:sz w:val="24"/>
          <w:szCs w:val="24"/>
          <w:lang w:val="es-ES"/>
        </w:rPr>
        <w:t>los</w:t>
      </w:r>
      <w:r w:rsidR="00AC4452">
        <w:rPr>
          <w:rFonts w:ascii="Arial" w:hAnsi="Arial" w:cs="Arial"/>
          <w:sz w:val="24"/>
          <w:szCs w:val="24"/>
          <w:lang w:val="es-ES"/>
        </w:rPr>
        <w:t>)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mes</w:t>
      </w:r>
      <w:r w:rsidR="00AC4452">
        <w:rPr>
          <w:rFonts w:ascii="Arial" w:hAnsi="Arial" w:cs="Arial"/>
          <w:sz w:val="24"/>
          <w:szCs w:val="24"/>
          <w:lang w:val="es-ES"/>
        </w:rPr>
        <w:t>(</w:t>
      </w:r>
      <w:r w:rsidRPr="00DF7866">
        <w:rPr>
          <w:rFonts w:ascii="Arial" w:hAnsi="Arial" w:cs="Arial"/>
          <w:sz w:val="24"/>
          <w:szCs w:val="24"/>
          <w:lang w:val="es-ES"/>
        </w:rPr>
        <w:t>es</w:t>
      </w:r>
      <w:r w:rsidR="00AC4452">
        <w:rPr>
          <w:rFonts w:ascii="Arial" w:hAnsi="Arial" w:cs="Arial"/>
          <w:sz w:val="24"/>
          <w:szCs w:val="24"/>
          <w:lang w:val="es-ES"/>
        </w:rPr>
        <w:t xml:space="preserve">) (diciembre 2018) </w:t>
      </w:r>
      <w:r w:rsidRPr="00DF7866">
        <w:rPr>
          <w:rFonts w:ascii="Arial" w:hAnsi="Arial" w:cs="Arial"/>
          <w:sz w:val="24"/>
          <w:szCs w:val="24"/>
          <w:lang w:val="es-ES"/>
        </w:rPr>
        <w:t>anteriores.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ES"/>
        </w:rPr>
      </w:pPr>
      <w:bookmarkStart w:id="3" w:name="_Toc856309"/>
      <w:r w:rsidRPr="00DF7866">
        <w:rPr>
          <w:rFonts w:cs="Arial"/>
          <w:szCs w:val="24"/>
          <w:lang w:val="es-ES"/>
        </w:rPr>
        <w:t>METODOLOGÍA</w:t>
      </w:r>
      <w:bookmarkEnd w:id="3"/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Se reviso la información registrada en el Sistema Distrital de Quejas y Soluciones (SDQS) sobre las distintas PQRSD interpuestas en los meses de </w:t>
      </w:r>
      <w:r w:rsidR="00BC0E2F">
        <w:rPr>
          <w:rFonts w:ascii="Arial" w:hAnsi="Arial" w:cs="Arial"/>
          <w:sz w:val="24"/>
          <w:szCs w:val="24"/>
          <w:lang w:val="es-ES"/>
        </w:rPr>
        <w:t xml:space="preserve">diciembre de 2018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y </w:t>
      </w:r>
      <w:r w:rsidR="00BC0E2F">
        <w:rPr>
          <w:rFonts w:ascii="Arial" w:hAnsi="Arial" w:cs="Arial"/>
          <w:sz w:val="24"/>
          <w:szCs w:val="24"/>
          <w:lang w:val="es-ES"/>
        </w:rPr>
        <w:t xml:space="preserve">enero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de </w:t>
      </w:r>
      <w:r w:rsidR="00BC0E2F">
        <w:rPr>
          <w:rFonts w:ascii="Arial" w:hAnsi="Arial" w:cs="Arial"/>
          <w:sz w:val="24"/>
          <w:szCs w:val="24"/>
          <w:lang w:val="es-ES"/>
        </w:rPr>
        <w:t>2019</w:t>
      </w:r>
      <w:r w:rsidRPr="00DF7866">
        <w:rPr>
          <w:rFonts w:ascii="Arial" w:hAnsi="Arial" w:cs="Arial"/>
          <w:sz w:val="24"/>
          <w:szCs w:val="24"/>
          <w:lang w:val="es-ES"/>
        </w:rPr>
        <w:t>. Esto por medio de un reporte que se genera mediante la plataforma del SDQS; el cual es descargado y plasmado en una hoja de cálculo (Excel).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De esta información se selecciona el 100% de las PQRSD que se presentaron en dichos meses. Esto con el objetivo de identificar las que tenían vencimiento en </w:t>
      </w:r>
      <w:r w:rsidR="00932CD4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</w:t>
      </w:r>
      <w:r w:rsidR="00932CD4">
        <w:rPr>
          <w:rFonts w:ascii="Arial" w:hAnsi="Arial" w:cs="Arial"/>
          <w:sz w:val="24"/>
          <w:szCs w:val="24"/>
          <w:lang w:val="es-ES"/>
        </w:rPr>
        <w:t xml:space="preserve">y las que tenían vencimiento en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el(los) mes(es) anterior(es) </w:t>
      </w:r>
      <w:r w:rsidR="00932CD4">
        <w:rPr>
          <w:rFonts w:ascii="Arial" w:hAnsi="Arial" w:cs="Arial"/>
          <w:sz w:val="24"/>
          <w:szCs w:val="24"/>
          <w:lang w:val="es-ES"/>
        </w:rPr>
        <w:t xml:space="preserve">(diciembre 2018) </w:t>
      </w:r>
      <w:r w:rsidRPr="00DF7866">
        <w:rPr>
          <w:rFonts w:ascii="Arial" w:hAnsi="Arial" w:cs="Arial"/>
          <w:sz w:val="24"/>
          <w:szCs w:val="24"/>
          <w:lang w:val="es-ES"/>
        </w:rPr>
        <w:t>y las cuales no fueron solucionadas. Así como las de que fueron solucionadas atendiendo los tiempos que determina la ley y las que se solucionaron de manera anticipada; así estas últimas no existirá obligatoriedad legal de resolverla en el mismo mes.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La información que podemos identificar en él reporte 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     </w:t>
      </w: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E505E3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Con esta información ya depurada procedemos a plasmar los resultados y realizar los análisis pertinentes.</w:t>
      </w:r>
    </w:p>
    <w:p w:rsidR="00F86B14" w:rsidRPr="00DF7866" w:rsidRDefault="00F86B14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E505E3" w:rsidRPr="00DF7866" w:rsidRDefault="004F7E45" w:rsidP="00DF7866">
      <w:pPr>
        <w:pStyle w:val="Ttulo1"/>
        <w:spacing w:before="0" w:after="0" w:line="240" w:lineRule="auto"/>
        <w:jc w:val="left"/>
        <w:rPr>
          <w:rFonts w:cs="Arial"/>
          <w:szCs w:val="24"/>
        </w:rPr>
      </w:pPr>
      <w:bookmarkStart w:id="4" w:name="_Toc520889930"/>
      <w:bookmarkStart w:id="5" w:name="_Toc856310"/>
      <w:r w:rsidRPr="00DF7866">
        <w:rPr>
          <w:rFonts w:cs="Arial"/>
          <w:szCs w:val="24"/>
        </w:rPr>
        <w:lastRenderedPageBreak/>
        <w:t xml:space="preserve">GESTION DE LAS PQRSD RECIBIDAS EN EL MES DE </w:t>
      </w:r>
      <w:bookmarkEnd w:id="4"/>
      <w:r w:rsidR="007217C3">
        <w:rPr>
          <w:rFonts w:cs="Arial"/>
          <w:szCs w:val="24"/>
        </w:rPr>
        <w:t>ENERO</w:t>
      </w:r>
      <w:bookmarkEnd w:id="5"/>
    </w:p>
    <w:p w:rsidR="00BD0B85" w:rsidRPr="00DF7866" w:rsidRDefault="00BD0B85" w:rsidP="00DF7866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:rsidR="00F86B14" w:rsidRPr="00DF7866" w:rsidRDefault="00836459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6" w:name="_Toc856311"/>
      <w:r w:rsidRPr="00DF7866">
        <w:rPr>
          <w:rFonts w:cs="Arial"/>
          <w:szCs w:val="24"/>
        </w:rPr>
        <w:t xml:space="preserve">Numero </w:t>
      </w:r>
      <w:r>
        <w:rPr>
          <w:rFonts w:cs="Arial"/>
          <w:szCs w:val="24"/>
        </w:rPr>
        <w:t>d</w:t>
      </w:r>
      <w:r w:rsidRPr="00DF7866">
        <w:rPr>
          <w:rFonts w:cs="Arial"/>
          <w:szCs w:val="24"/>
        </w:rPr>
        <w:t>e PQRSD Recibidas</w:t>
      </w:r>
      <w:r w:rsidR="008728C6">
        <w:rPr>
          <w:rFonts w:cs="Arial"/>
          <w:szCs w:val="24"/>
        </w:rPr>
        <w:t xml:space="preserve"> y Solucionadas</w:t>
      </w:r>
      <w:bookmarkEnd w:id="6"/>
      <w:r w:rsidR="008728C6">
        <w:rPr>
          <w:rFonts w:cs="Arial"/>
          <w:szCs w:val="24"/>
        </w:rPr>
        <w:t xml:space="preserve"> </w:t>
      </w:r>
    </w:p>
    <w:p w:rsidR="00BD0B85" w:rsidRPr="00DF7866" w:rsidRDefault="00BD0B85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C4CCE" w:rsidRPr="00DF7866" w:rsidRDefault="004C4CC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Durante </w:t>
      </w:r>
      <w:r w:rsidR="00AC4489">
        <w:rPr>
          <w:rFonts w:ascii="Arial" w:hAnsi="Arial" w:cs="Arial"/>
          <w:sz w:val="24"/>
          <w:szCs w:val="24"/>
          <w:lang w:val="es-ES"/>
        </w:rPr>
        <w:t xml:space="preserve">enero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del </w:t>
      </w:r>
      <w:r w:rsidR="00AC4489">
        <w:rPr>
          <w:rFonts w:ascii="Arial" w:hAnsi="Arial" w:cs="Arial"/>
          <w:sz w:val="24"/>
          <w:szCs w:val="24"/>
          <w:lang w:val="es-ES"/>
        </w:rPr>
        <w:t>2019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se recibieron </w:t>
      </w:r>
      <w:r w:rsidR="00AC4489">
        <w:rPr>
          <w:rFonts w:ascii="Arial" w:hAnsi="Arial" w:cs="Arial"/>
          <w:sz w:val="24"/>
          <w:szCs w:val="24"/>
          <w:lang w:val="es-ES"/>
        </w:rPr>
        <w:t>355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AC4489">
        <w:rPr>
          <w:rFonts w:ascii="Arial" w:hAnsi="Arial" w:cs="Arial"/>
          <w:sz w:val="24"/>
          <w:szCs w:val="24"/>
          <w:lang w:val="es-ES"/>
        </w:rPr>
        <w:t>100</w:t>
      </w:r>
      <w:r w:rsidRPr="00DF7866">
        <w:rPr>
          <w:rFonts w:ascii="Arial" w:hAnsi="Arial" w:cs="Arial"/>
          <w:sz w:val="24"/>
          <w:szCs w:val="24"/>
          <w:lang w:val="es-ES"/>
        </w:rPr>
        <w:t>%) PQRSD</w:t>
      </w:r>
      <w:r w:rsidR="004913B1">
        <w:rPr>
          <w:rFonts w:ascii="Arial" w:hAnsi="Arial" w:cs="Arial"/>
          <w:sz w:val="24"/>
          <w:szCs w:val="24"/>
          <w:lang w:val="es-ES"/>
        </w:rPr>
        <w:t xml:space="preserve"> (ver Grafica No. 1)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el </w:t>
      </w:r>
      <w:r w:rsidR="004A6F8F" w:rsidRPr="004A6F8F">
        <w:rPr>
          <w:rFonts w:ascii="Arial" w:hAnsi="Arial" w:cs="Arial"/>
          <w:sz w:val="24"/>
          <w:szCs w:val="24"/>
          <w:lang w:val="es-ES"/>
        </w:rPr>
        <w:t>31,5</w:t>
      </w:r>
      <w:r w:rsidR="004A6F8F">
        <w:rPr>
          <w:rFonts w:ascii="Arial" w:hAnsi="Arial" w:cs="Arial"/>
          <w:sz w:val="24"/>
          <w:szCs w:val="24"/>
          <w:lang w:val="es-ES"/>
        </w:rPr>
        <w:t>5</w:t>
      </w:r>
      <w:r w:rsidRPr="00DF7866">
        <w:rPr>
          <w:rFonts w:ascii="Arial" w:hAnsi="Arial" w:cs="Arial"/>
          <w:sz w:val="24"/>
          <w:szCs w:val="24"/>
          <w:lang w:val="es-ES"/>
        </w:rPr>
        <w:t>% (</w:t>
      </w:r>
      <w:r w:rsidR="004A6F8F">
        <w:rPr>
          <w:rFonts w:ascii="Arial" w:hAnsi="Arial" w:cs="Arial"/>
          <w:sz w:val="24"/>
          <w:szCs w:val="24"/>
          <w:lang w:val="es-ES"/>
        </w:rPr>
        <w:t>112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 se recibió durante los primeros 15 días del mes y para la segunda mitad se recibió el </w:t>
      </w:r>
      <w:r w:rsidR="004F3019" w:rsidRPr="004F3019">
        <w:rPr>
          <w:rFonts w:ascii="Arial" w:hAnsi="Arial" w:cs="Arial"/>
          <w:sz w:val="24"/>
          <w:szCs w:val="24"/>
          <w:lang w:val="es-ES"/>
        </w:rPr>
        <w:t>68,45</w:t>
      </w:r>
      <w:r w:rsidRPr="00DF7866">
        <w:rPr>
          <w:rFonts w:ascii="Arial" w:hAnsi="Arial" w:cs="Arial"/>
          <w:sz w:val="24"/>
          <w:szCs w:val="24"/>
          <w:lang w:val="es-ES"/>
        </w:rPr>
        <w:t>% (</w:t>
      </w:r>
      <w:r w:rsidR="004F3019">
        <w:rPr>
          <w:rFonts w:ascii="Arial" w:hAnsi="Arial" w:cs="Arial"/>
          <w:sz w:val="24"/>
          <w:szCs w:val="24"/>
          <w:lang w:val="es-ES"/>
        </w:rPr>
        <w:t>243</w:t>
      </w:r>
      <w:r w:rsidRPr="00DF7866">
        <w:rPr>
          <w:rFonts w:ascii="Arial" w:hAnsi="Arial" w:cs="Arial"/>
          <w:sz w:val="24"/>
          <w:szCs w:val="24"/>
          <w:lang w:val="es-ES"/>
        </w:rPr>
        <w:t>) PQRSD. Existiendo un</w:t>
      </w:r>
      <w:r w:rsidR="00EB4632"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="00EB4632" w:rsidRPr="00A91671">
        <w:rPr>
          <w:rFonts w:ascii="Arial" w:hAnsi="Arial" w:cs="Arial"/>
          <w:sz w:val="24"/>
          <w:szCs w:val="24"/>
          <w:lang w:val="es-ES"/>
        </w:rPr>
        <w:t>incremento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en la recepción de PQRSD frente al mes anterior (</w:t>
      </w:r>
      <w:r w:rsidR="00066D74">
        <w:rPr>
          <w:rFonts w:ascii="Arial" w:hAnsi="Arial" w:cs="Arial"/>
          <w:sz w:val="24"/>
          <w:szCs w:val="24"/>
          <w:lang w:val="es-ES"/>
        </w:rPr>
        <w:t>diciembre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), del </w:t>
      </w:r>
      <w:r w:rsidR="007B3415">
        <w:rPr>
          <w:rFonts w:ascii="Arial" w:hAnsi="Arial" w:cs="Arial"/>
          <w:sz w:val="24"/>
          <w:szCs w:val="24"/>
          <w:lang w:val="es-ES"/>
        </w:rPr>
        <w:t>136,54</w:t>
      </w:r>
      <w:r w:rsidRPr="00DF7866">
        <w:rPr>
          <w:rFonts w:ascii="Arial" w:hAnsi="Arial" w:cs="Arial"/>
          <w:sz w:val="24"/>
          <w:szCs w:val="24"/>
          <w:lang w:val="es-ES"/>
        </w:rPr>
        <w:t>%. las cuales en su totalidad fueron ingresadas en el Sistema Distrital de Quejas y Soluciones (SDQS), cumpliendo el Decreto 371 de 2010.</w:t>
      </w:r>
    </w:p>
    <w:p w:rsidR="004913B1" w:rsidRDefault="004913B1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913B1" w:rsidRPr="00DF7866" w:rsidRDefault="004913B1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656A6FA9" wp14:editId="3F4AA15A">
            <wp:extent cx="5981700" cy="37147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4CCE" w:rsidRDefault="004913B1" w:rsidP="004913B1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:rsidR="004913B1" w:rsidRDefault="004913B1" w:rsidP="00491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3B1" w:rsidRDefault="004913B1" w:rsidP="004913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De las recibidas en </w:t>
      </w:r>
      <w:r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76 </w:t>
      </w:r>
      <w:r w:rsidRPr="00DF7866">
        <w:rPr>
          <w:rFonts w:ascii="Arial" w:hAnsi="Arial" w:cs="Arial"/>
          <w:sz w:val="24"/>
          <w:szCs w:val="24"/>
          <w:lang w:val="es-ES"/>
        </w:rPr>
        <w:t>(</w:t>
      </w:r>
      <w:r w:rsidRPr="009B5542">
        <w:rPr>
          <w:rFonts w:ascii="Arial" w:hAnsi="Arial" w:cs="Arial"/>
          <w:sz w:val="24"/>
          <w:szCs w:val="24"/>
          <w:lang w:val="es-ES"/>
        </w:rPr>
        <w:t>21,4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 PQRSD, la norma determina que se deben responder en el mismo periodo de presentación. Esto no quiere decir que las </w:t>
      </w:r>
      <w:r w:rsidRPr="009B5542">
        <w:rPr>
          <w:rFonts w:ascii="Arial" w:hAnsi="Arial" w:cs="Arial"/>
          <w:sz w:val="24"/>
          <w:szCs w:val="24"/>
          <w:lang w:val="es-ES"/>
        </w:rPr>
        <w:t>279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t>(</w:t>
      </w:r>
      <w:r w:rsidRPr="009B5542">
        <w:rPr>
          <w:rFonts w:ascii="Arial" w:hAnsi="Arial" w:cs="Arial"/>
          <w:sz w:val="24"/>
          <w:szCs w:val="24"/>
          <w:lang w:val="es-ES"/>
        </w:rPr>
        <w:t>78,59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 PQRSD restantes, que tienen fecha límite de respuesta en otro(s) mes(es), no pudieran haber sido solucionadas en este mes. (Ver Grafica No. </w:t>
      </w:r>
      <w:r w:rsidR="00FA6E0E">
        <w:rPr>
          <w:rFonts w:ascii="Arial" w:hAnsi="Arial" w:cs="Arial"/>
          <w:sz w:val="24"/>
          <w:szCs w:val="24"/>
          <w:lang w:val="es-ES"/>
        </w:rPr>
        <w:t>2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). </w:t>
      </w:r>
    </w:p>
    <w:p w:rsidR="004913B1" w:rsidRDefault="004913B1" w:rsidP="00491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762" w:rsidRDefault="000E2C4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EF1C309" wp14:editId="3AD20830">
            <wp:extent cx="5964555" cy="3019425"/>
            <wp:effectExtent l="0" t="0" r="1714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189C16-E169-4B64-8421-797923EA76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1458" w:rsidRPr="00DF7866" w:rsidRDefault="00381458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2F7C">
        <w:rPr>
          <w:rFonts w:ascii="Arial" w:hAnsi="Arial" w:cs="Arial"/>
          <w:sz w:val="20"/>
          <w:szCs w:val="20"/>
          <w:lang w:val="es-ES"/>
        </w:rPr>
        <w:t xml:space="preserve">Fuente: </w:t>
      </w:r>
      <w:r w:rsidR="005F1681">
        <w:rPr>
          <w:rFonts w:ascii="Arial" w:hAnsi="Arial" w:cs="Arial"/>
          <w:sz w:val="20"/>
          <w:szCs w:val="20"/>
          <w:lang w:val="es-ES"/>
        </w:rPr>
        <w:t>Propia Servicio al Ciudadano</w:t>
      </w:r>
    </w:p>
    <w:p w:rsidR="00381458" w:rsidRPr="00DF7866" w:rsidRDefault="00381458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1458" w:rsidRPr="00DF7866" w:rsidRDefault="003179AA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381458" w:rsidRPr="00DF7866">
        <w:rPr>
          <w:rFonts w:ascii="Arial" w:hAnsi="Arial" w:cs="Arial"/>
          <w:sz w:val="24"/>
          <w:szCs w:val="24"/>
          <w:lang w:val="es-ES"/>
        </w:rPr>
        <w:t xml:space="preserve"> las </w:t>
      </w:r>
      <w:r>
        <w:rPr>
          <w:rFonts w:ascii="Arial" w:hAnsi="Arial" w:cs="Arial"/>
          <w:sz w:val="24"/>
          <w:szCs w:val="24"/>
          <w:lang w:val="es-ES"/>
        </w:rPr>
        <w:t xml:space="preserve">76 </w:t>
      </w:r>
      <w:r w:rsidR="00381458" w:rsidRPr="00DF7866">
        <w:rPr>
          <w:rFonts w:ascii="Arial" w:hAnsi="Arial" w:cs="Arial"/>
          <w:sz w:val="24"/>
          <w:szCs w:val="24"/>
          <w:lang w:val="es-ES"/>
        </w:rPr>
        <w:t xml:space="preserve">PQRSD que la norma determina que deben responderse en el mes de </w:t>
      </w:r>
      <w:r>
        <w:rPr>
          <w:rFonts w:ascii="Arial" w:hAnsi="Arial" w:cs="Arial"/>
          <w:sz w:val="24"/>
          <w:szCs w:val="24"/>
          <w:lang w:val="es-ES"/>
        </w:rPr>
        <w:t>enero</w:t>
      </w:r>
      <w:r w:rsidR="00381458" w:rsidRPr="00DF7866">
        <w:rPr>
          <w:rFonts w:ascii="Arial" w:hAnsi="Arial" w:cs="Arial"/>
          <w:sz w:val="24"/>
          <w:szCs w:val="24"/>
          <w:lang w:val="es-ES"/>
        </w:rPr>
        <w:t xml:space="preserve">, se deben incorporar </w:t>
      </w:r>
      <w:r w:rsidR="00C37A04">
        <w:rPr>
          <w:rFonts w:ascii="Arial" w:hAnsi="Arial" w:cs="Arial"/>
          <w:sz w:val="24"/>
          <w:szCs w:val="24"/>
          <w:lang w:val="es-ES"/>
        </w:rPr>
        <w:t xml:space="preserve">dos (2) </w:t>
      </w:r>
      <w:r w:rsidR="00381458" w:rsidRPr="00DF7866">
        <w:rPr>
          <w:rFonts w:ascii="Arial" w:hAnsi="Arial" w:cs="Arial"/>
          <w:sz w:val="24"/>
          <w:szCs w:val="24"/>
          <w:lang w:val="es-ES"/>
        </w:rPr>
        <w:t>que no fueron solucionadas en el(los) mes(es) anterior(es) (</w:t>
      </w:r>
      <w:r w:rsidR="00C37A04">
        <w:rPr>
          <w:rFonts w:ascii="Arial" w:hAnsi="Arial" w:cs="Arial"/>
          <w:sz w:val="24"/>
          <w:szCs w:val="24"/>
          <w:lang w:val="es-ES"/>
        </w:rPr>
        <w:t>diciembre</w:t>
      </w:r>
      <w:r w:rsidR="00381458" w:rsidRPr="00DF7866">
        <w:rPr>
          <w:rFonts w:ascii="Arial" w:hAnsi="Arial" w:cs="Arial"/>
          <w:sz w:val="24"/>
          <w:szCs w:val="24"/>
          <w:lang w:val="es-ES"/>
        </w:rPr>
        <w:t xml:space="preserve">). En tal sentido, tenemos un total de </w:t>
      </w:r>
      <w:r w:rsidR="00BD7222">
        <w:rPr>
          <w:rFonts w:ascii="Arial" w:hAnsi="Arial" w:cs="Arial"/>
          <w:sz w:val="24"/>
          <w:szCs w:val="24"/>
          <w:lang w:val="es-ES"/>
        </w:rPr>
        <w:t>78</w:t>
      </w:r>
      <w:r w:rsidR="00381458" w:rsidRPr="00DF7866">
        <w:rPr>
          <w:rFonts w:ascii="Arial" w:hAnsi="Arial" w:cs="Arial"/>
          <w:sz w:val="24"/>
          <w:szCs w:val="24"/>
          <w:lang w:val="es-ES"/>
        </w:rPr>
        <w:t xml:space="preserve"> PQRSD, a las cuales se les debe dar solución de forma prioritaria, antes de finalizar el mes de </w:t>
      </w:r>
      <w:r w:rsidR="00BD7222">
        <w:rPr>
          <w:rFonts w:ascii="Arial" w:hAnsi="Arial" w:cs="Arial"/>
          <w:sz w:val="24"/>
          <w:szCs w:val="24"/>
          <w:lang w:val="es-ES"/>
        </w:rPr>
        <w:t>enero</w:t>
      </w:r>
      <w:r w:rsidR="00381458" w:rsidRPr="00DF7866">
        <w:rPr>
          <w:rFonts w:ascii="Arial" w:hAnsi="Arial" w:cs="Arial"/>
          <w:sz w:val="24"/>
          <w:szCs w:val="24"/>
          <w:lang w:val="es-ES"/>
        </w:rPr>
        <w:t>.</w:t>
      </w:r>
    </w:p>
    <w:p w:rsidR="00170F7F" w:rsidRPr="00DF7866" w:rsidRDefault="00170F7F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1458" w:rsidRPr="00DF7866" w:rsidRDefault="00381458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Atendiendo lo anteriormente expuesto, para </w:t>
      </w:r>
      <w:r w:rsidR="007C1753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se dio solución a </w:t>
      </w:r>
      <w:r w:rsidR="00353AAA">
        <w:rPr>
          <w:rFonts w:ascii="Arial" w:hAnsi="Arial" w:cs="Arial"/>
          <w:sz w:val="24"/>
          <w:szCs w:val="24"/>
          <w:lang w:val="es-ES"/>
        </w:rPr>
        <w:t>264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4B4911">
        <w:rPr>
          <w:rFonts w:ascii="Arial" w:hAnsi="Arial" w:cs="Arial"/>
          <w:sz w:val="24"/>
          <w:szCs w:val="24"/>
          <w:lang w:val="es-ES"/>
        </w:rPr>
        <w:t>100</w:t>
      </w:r>
      <w:r w:rsidRPr="00DF7866">
        <w:rPr>
          <w:rFonts w:ascii="Arial" w:hAnsi="Arial" w:cs="Arial"/>
          <w:sz w:val="24"/>
          <w:szCs w:val="24"/>
          <w:lang w:val="es-ES"/>
        </w:rPr>
        <w:t>%) PQRSD, distribuidas así:</w:t>
      </w:r>
    </w:p>
    <w:p w:rsidR="002D3AD4" w:rsidRPr="00DF7866" w:rsidRDefault="002D3AD4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GridTable4Accent1"/>
        <w:tblW w:w="9395" w:type="dxa"/>
        <w:tblLayout w:type="fixed"/>
        <w:tblLook w:val="04A0" w:firstRow="1" w:lastRow="0" w:firstColumn="1" w:lastColumn="0" w:noHBand="0" w:noVBand="1"/>
      </w:tblPr>
      <w:tblGrid>
        <w:gridCol w:w="3397"/>
        <w:gridCol w:w="1199"/>
        <w:gridCol w:w="1200"/>
        <w:gridCol w:w="1199"/>
        <w:gridCol w:w="1200"/>
        <w:gridCol w:w="1200"/>
      </w:tblGrid>
      <w:tr w:rsidR="00AD5C23" w:rsidRPr="00595E80" w:rsidTr="00AD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6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AD5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sz w:val="20"/>
                <w:szCs w:val="20"/>
                <w:lang w:val="es-ES"/>
              </w:rPr>
              <w:t xml:space="preserve">TABLA No.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595E80">
              <w:rPr>
                <w:rFonts w:ascii="Arial" w:hAnsi="Arial" w:cs="Arial"/>
                <w:sz w:val="20"/>
                <w:szCs w:val="20"/>
                <w:lang w:val="es-ES"/>
              </w:rPr>
              <w:t xml:space="preserve"> - PQRSD SOLUCIONADAS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ENERO</w:t>
            </w:r>
          </w:p>
        </w:tc>
      </w:tr>
      <w:tr w:rsidR="00AD5C23" w:rsidRPr="00595E80" w:rsidTr="00BB3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DF78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sz w:val="20"/>
                <w:szCs w:val="20"/>
                <w:lang w:val="es-ES"/>
              </w:rPr>
              <w:t>PQRSD</w:t>
            </w:r>
          </w:p>
        </w:tc>
        <w:tc>
          <w:tcPr>
            <w:tcW w:w="5998" w:type="dxa"/>
            <w:gridSpan w:val="5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AD5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sz w:val="20"/>
                <w:szCs w:val="20"/>
                <w:lang w:val="es-ES"/>
              </w:rPr>
              <w:t>MES DE VENCIMIENTO</w:t>
            </w:r>
          </w:p>
        </w:tc>
      </w:tr>
      <w:tr w:rsidR="00AD5C23" w:rsidRPr="00595E80" w:rsidTr="00BB3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DF78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9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Enero</w:t>
            </w:r>
          </w:p>
        </w:tc>
        <w:tc>
          <w:tcPr>
            <w:tcW w:w="119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Default="00AD5C23" w:rsidP="00BB32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Total</w:t>
            </w:r>
          </w:p>
        </w:tc>
      </w:tr>
      <w:tr w:rsidR="00AD5C23" w:rsidRPr="00595E80" w:rsidTr="00BB3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AD5C23" w:rsidP="00DF786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Perentorias Solucionadas Oportunamente</w:t>
            </w:r>
          </w:p>
        </w:tc>
        <w:tc>
          <w:tcPr>
            <w:tcW w:w="1199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136</w:t>
            </w:r>
          </w:p>
        </w:tc>
        <w:tc>
          <w:tcPr>
            <w:tcW w:w="1199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tcBorders>
              <w:top w:val="single" w:sz="4" w:space="0" w:color="DBE5F1" w:themeColor="accent1" w:themeTint="33"/>
            </w:tcBorders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136</w:t>
            </w:r>
          </w:p>
        </w:tc>
      </w:tr>
      <w:tr w:rsidR="00AD5C23" w:rsidRPr="00595E80" w:rsidTr="00BB32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D5C23" w:rsidRPr="00595E80" w:rsidRDefault="00AD5C23" w:rsidP="00DF786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Perentorias Solucionadas Inoportunamente</w:t>
            </w:r>
          </w:p>
        </w:tc>
        <w:tc>
          <w:tcPr>
            <w:tcW w:w="1199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200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199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</w:p>
        </w:tc>
      </w:tr>
      <w:tr w:rsidR="00AD5C23" w:rsidRPr="00595E80" w:rsidTr="00BB3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D5C23" w:rsidRPr="00595E80" w:rsidRDefault="00AD5C23" w:rsidP="00DF786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Solucionadas Anticipadamente</w:t>
            </w:r>
          </w:p>
        </w:tc>
        <w:tc>
          <w:tcPr>
            <w:tcW w:w="1199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200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199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116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118</w:t>
            </w:r>
          </w:p>
        </w:tc>
      </w:tr>
      <w:tr w:rsidR="00AD5C23" w:rsidRPr="00595E80" w:rsidTr="00BB32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D5C23" w:rsidRPr="00595E80" w:rsidRDefault="00AD5C23" w:rsidP="00DF78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E80">
              <w:rPr>
                <w:rFonts w:ascii="Arial" w:hAnsi="Arial" w:cs="Arial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199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200" w:type="dxa"/>
            <w:vAlign w:val="center"/>
          </w:tcPr>
          <w:p w:rsidR="00AD5C23" w:rsidRPr="00595E80" w:rsidRDefault="00AD5C23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144</w:t>
            </w:r>
          </w:p>
        </w:tc>
        <w:tc>
          <w:tcPr>
            <w:tcW w:w="1199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116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200" w:type="dxa"/>
            <w:vAlign w:val="center"/>
          </w:tcPr>
          <w:p w:rsidR="00AD5C23" w:rsidRPr="00595E80" w:rsidRDefault="001A0F99" w:rsidP="00BB3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264</w:t>
            </w:r>
          </w:p>
        </w:tc>
      </w:tr>
    </w:tbl>
    <w:p w:rsidR="004A3FCC" w:rsidRPr="00595E80" w:rsidRDefault="00E176BE" w:rsidP="00DF786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95E80">
        <w:rPr>
          <w:rFonts w:ascii="Arial" w:hAnsi="Arial" w:cs="Arial"/>
          <w:sz w:val="20"/>
          <w:szCs w:val="20"/>
        </w:rPr>
        <w:t>Fuente:</w:t>
      </w:r>
      <w:r w:rsidR="00397370" w:rsidRPr="00595E80">
        <w:rPr>
          <w:rFonts w:ascii="Arial" w:hAnsi="Arial" w:cs="Arial"/>
          <w:sz w:val="20"/>
          <w:szCs w:val="20"/>
        </w:rPr>
        <w:t xml:space="preserve"> </w:t>
      </w:r>
      <w:r w:rsidR="00965B0D">
        <w:rPr>
          <w:rFonts w:ascii="Arial" w:hAnsi="Arial" w:cs="Arial"/>
          <w:sz w:val="20"/>
          <w:szCs w:val="20"/>
        </w:rPr>
        <w:t>Servicio al Ciudadano</w:t>
      </w:r>
    </w:p>
    <w:p w:rsidR="00E176BE" w:rsidRPr="00DF7866" w:rsidRDefault="00E176B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lastRenderedPageBreak/>
        <w:t xml:space="preserve">Los registros arrojados por el SDQS, nos permite concluir que se dio respuesta al </w:t>
      </w:r>
      <w:r w:rsidR="00597164" w:rsidRPr="00597164">
        <w:rPr>
          <w:rFonts w:ascii="Arial" w:hAnsi="Arial" w:cs="Arial"/>
          <w:sz w:val="24"/>
          <w:szCs w:val="24"/>
          <w:lang w:val="es-ES"/>
        </w:rPr>
        <w:t>94,7</w:t>
      </w:r>
      <w:r w:rsidR="00597164">
        <w:rPr>
          <w:rFonts w:ascii="Arial" w:hAnsi="Arial" w:cs="Arial"/>
          <w:sz w:val="24"/>
          <w:szCs w:val="24"/>
          <w:lang w:val="es-ES"/>
        </w:rPr>
        <w:t>4</w:t>
      </w:r>
      <w:r w:rsidRPr="00DF7866">
        <w:rPr>
          <w:rFonts w:ascii="Arial" w:hAnsi="Arial" w:cs="Arial"/>
          <w:sz w:val="24"/>
          <w:szCs w:val="24"/>
          <w:lang w:val="es-ES"/>
        </w:rPr>
        <w:t>% (</w:t>
      </w:r>
      <w:r w:rsidR="00BC29DA">
        <w:rPr>
          <w:rFonts w:ascii="Arial" w:hAnsi="Arial" w:cs="Arial"/>
          <w:sz w:val="24"/>
          <w:szCs w:val="24"/>
          <w:lang w:val="es-ES"/>
        </w:rPr>
        <w:t>72</w:t>
      </w:r>
      <w:r w:rsidRPr="00DF7866">
        <w:rPr>
          <w:rFonts w:ascii="Arial" w:hAnsi="Arial" w:cs="Arial"/>
          <w:sz w:val="24"/>
          <w:szCs w:val="24"/>
          <w:lang w:val="es-ES"/>
        </w:rPr>
        <w:t>) que tenían que responderse dentro del mismo mes de presentación (</w:t>
      </w:r>
      <w:r w:rsidR="00617956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>). Y se logró dar respuesta a la</w:t>
      </w:r>
      <w:r w:rsidR="009D0347">
        <w:rPr>
          <w:rFonts w:ascii="Arial" w:hAnsi="Arial" w:cs="Arial"/>
          <w:sz w:val="24"/>
          <w:szCs w:val="24"/>
          <w:lang w:val="es-ES"/>
        </w:rPr>
        <w:t>s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="009D0347">
        <w:rPr>
          <w:rFonts w:ascii="Arial" w:hAnsi="Arial" w:cs="Arial"/>
          <w:sz w:val="24"/>
          <w:szCs w:val="24"/>
          <w:lang w:val="es-ES"/>
        </w:rPr>
        <w:t xml:space="preserve">dos </w:t>
      </w:r>
      <w:r w:rsidRPr="00DF7866">
        <w:rPr>
          <w:rFonts w:ascii="Arial" w:hAnsi="Arial" w:cs="Arial"/>
          <w:sz w:val="24"/>
          <w:szCs w:val="24"/>
          <w:lang w:val="es-ES"/>
        </w:rPr>
        <w:t>(</w:t>
      </w:r>
      <w:r w:rsidR="009D0347">
        <w:rPr>
          <w:rFonts w:ascii="Arial" w:hAnsi="Arial" w:cs="Arial"/>
          <w:sz w:val="24"/>
          <w:szCs w:val="24"/>
          <w:lang w:val="es-ES"/>
        </w:rPr>
        <w:t>2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 de las PQRSD que tenían el carácter de respuesta perentoria, las cuales se presentaron en el(los) mes(es) anterior(es). </w:t>
      </w:r>
    </w:p>
    <w:p w:rsidR="00E176BE" w:rsidRPr="00DF7866" w:rsidRDefault="00E176B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176BE" w:rsidRDefault="00E176B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D56C5C">
        <w:rPr>
          <w:rFonts w:ascii="Arial" w:hAnsi="Arial" w:cs="Arial"/>
          <w:sz w:val="24"/>
          <w:szCs w:val="24"/>
          <w:lang w:val="es-ES"/>
        </w:rPr>
        <w:t xml:space="preserve">punto </w:t>
      </w:r>
      <w:r w:rsidR="002971AA" w:rsidRPr="00D56C5C">
        <w:rPr>
          <w:rFonts w:ascii="Arial" w:hAnsi="Arial" w:cs="Arial"/>
          <w:sz w:val="24"/>
          <w:szCs w:val="24"/>
          <w:lang w:val="es-ES"/>
        </w:rPr>
        <w:t xml:space="preserve">4.5 </w:t>
      </w:r>
      <w:r w:rsidRPr="00D56C5C">
        <w:rPr>
          <w:rFonts w:ascii="Arial" w:hAnsi="Arial" w:cs="Arial"/>
          <w:sz w:val="24"/>
          <w:szCs w:val="24"/>
          <w:lang w:val="es-ES"/>
        </w:rPr>
        <w:t>“Análisis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de las respuestas con cierre inoportuno” de este informe, analizaremos </w:t>
      </w:r>
      <w:r w:rsidR="004A6B08">
        <w:rPr>
          <w:rFonts w:ascii="Arial" w:hAnsi="Arial" w:cs="Arial"/>
          <w:sz w:val="24"/>
          <w:szCs w:val="24"/>
          <w:lang w:val="es-ES"/>
        </w:rPr>
        <w:t>diez (10)</w:t>
      </w:r>
      <w:r w:rsidR="00FB6DBF"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t>PQRSD que no se atendieron de manera oportuna.</w:t>
      </w:r>
    </w:p>
    <w:p w:rsidR="008728C6" w:rsidRDefault="008728C6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57E76" w:rsidRDefault="00057E76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775AA" w:rsidRPr="00DF7866" w:rsidRDefault="00581502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7" w:name="_Toc856312"/>
      <w:r w:rsidRPr="00DF7866">
        <w:rPr>
          <w:rFonts w:cs="Arial"/>
          <w:szCs w:val="24"/>
        </w:rPr>
        <w:t xml:space="preserve">Canales </w:t>
      </w:r>
      <w:r>
        <w:rPr>
          <w:rFonts w:cs="Arial"/>
          <w:szCs w:val="24"/>
        </w:rPr>
        <w:t>d</w:t>
      </w:r>
      <w:r w:rsidRPr="00DF7866">
        <w:rPr>
          <w:rFonts w:cs="Arial"/>
          <w:szCs w:val="24"/>
        </w:rPr>
        <w:t>e Interacción</w:t>
      </w:r>
      <w:bookmarkEnd w:id="7"/>
    </w:p>
    <w:p w:rsidR="00BE55C8" w:rsidRPr="00DF7866" w:rsidRDefault="00BE55C8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22BC3" w:rsidRPr="000E41F2" w:rsidRDefault="00E22BC3" w:rsidP="00E22BC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E41F2">
        <w:rPr>
          <w:rFonts w:ascii="Arial" w:hAnsi="Arial" w:cs="Arial"/>
          <w:color w:val="000000" w:themeColor="text1"/>
          <w:sz w:val="24"/>
          <w:szCs w:val="24"/>
          <w:lang w:val="es-ES"/>
        </w:rPr>
        <w:t>De los canales dispuestos para la recepción de PQRSD se identificó que los más utilizados por la ciudadanía fueron: el canal Escrito con una participación del 80,85% (287), canal Web con un 9,01% (32) y E-mail con una participación del 5,63% (20).</w:t>
      </w:r>
    </w:p>
    <w:p w:rsidR="00E22BC3" w:rsidRPr="000E41F2" w:rsidRDefault="00E22BC3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585B" w:rsidRPr="00DF7866" w:rsidRDefault="00814DD4" w:rsidP="00DF786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44409481" wp14:editId="7C8DE729">
            <wp:extent cx="5972175" cy="396240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0F7C" w:rsidRPr="007E2536" w:rsidRDefault="00EA0F7C" w:rsidP="00EA0F7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  <w:r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- Servicio al Ciudadano </w:t>
      </w:r>
    </w:p>
    <w:p w:rsidR="000E6668" w:rsidRPr="00DF7866" w:rsidRDefault="000E6668" w:rsidP="00DF786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775AA" w:rsidRPr="00DF7866" w:rsidRDefault="00877EAB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8" w:name="_Toc856313"/>
      <w:r w:rsidRPr="00DF7866">
        <w:rPr>
          <w:rFonts w:cs="Arial"/>
          <w:szCs w:val="24"/>
        </w:rPr>
        <w:lastRenderedPageBreak/>
        <w:t>Tipologías</w:t>
      </w:r>
      <w:bookmarkEnd w:id="8"/>
    </w:p>
    <w:p w:rsidR="00BE55C8" w:rsidRPr="00DF7866" w:rsidRDefault="00BE55C8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D89" w:rsidRPr="00591CD8" w:rsidRDefault="00616D89" w:rsidP="00616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CD8">
        <w:rPr>
          <w:rFonts w:ascii="Arial" w:hAnsi="Arial" w:cs="Arial"/>
          <w:sz w:val="24"/>
          <w:szCs w:val="24"/>
        </w:rPr>
        <w:t>Del total de PQRSD (355) recibidas en enero, el Derecho de Petición de Interés Particular fue la tipología más utilizada por la ciudadanía, con una participación del 72,96% (259), seguido de la Solicitud de Copia con una participación del 8,73% (31) y el Derecho de Petición de Interés General con un 6,48% (23).</w:t>
      </w:r>
    </w:p>
    <w:p w:rsidR="0055724D" w:rsidRPr="00DF7866" w:rsidRDefault="0055724D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4D" w:rsidRPr="00DF7866" w:rsidRDefault="00616D89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D6073E6" wp14:editId="784B4C8A">
            <wp:extent cx="6010275" cy="4253230"/>
            <wp:effectExtent l="0" t="0" r="9525" b="139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5901" w:rsidRPr="007E2536" w:rsidRDefault="008A5901" w:rsidP="008A5901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Servicio al Ciudadano </w:t>
      </w:r>
    </w:p>
    <w:p w:rsidR="009F5967" w:rsidRDefault="009F5967" w:rsidP="00DF78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404EF" w:rsidRPr="00591CD8" w:rsidRDefault="009404EF" w:rsidP="009404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1CD8">
        <w:rPr>
          <w:rFonts w:ascii="Arial" w:hAnsi="Arial" w:cs="Arial"/>
          <w:color w:val="000000" w:themeColor="text1"/>
          <w:sz w:val="24"/>
          <w:szCs w:val="24"/>
        </w:rPr>
        <w:t>En cumplimiento de la Ley 1712 de 2014 y el Decreto 103 de 2015 las siguientes son las solicitudes de información recibidas por la Entidad:</w:t>
      </w:r>
    </w:p>
    <w:p w:rsidR="009404EF" w:rsidRPr="00591CD8" w:rsidRDefault="009404EF" w:rsidP="009404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04EF" w:rsidRPr="00591CD8" w:rsidRDefault="009404EF" w:rsidP="009404E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Número de solicitudes de información recibidas</w:t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17</w:t>
      </w:r>
    </w:p>
    <w:p w:rsidR="009404EF" w:rsidRPr="00591CD8" w:rsidRDefault="009404EF" w:rsidP="009404E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Número de solicitudes trasladadas a otra institución</w:t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C153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</w:p>
    <w:p w:rsidR="009404EF" w:rsidRPr="00591CD8" w:rsidRDefault="009404EF" w:rsidP="009404E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negó la información</w:t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C153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591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</w:t>
      </w:r>
    </w:p>
    <w:p w:rsidR="009404EF" w:rsidRDefault="009404EF" w:rsidP="00940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1C0358" w:rsidRPr="00DF7866" w:rsidRDefault="00877EAB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9" w:name="_Toc856314"/>
      <w:r w:rsidRPr="00DF7866">
        <w:rPr>
          <w:rFonts w:cs="Arial"/>
          <w:szCs w:val="24"/>
        </w:rPr>
        <w:lastRenderedPageBreak/>
        <w:t>Subtemas Más Reiterados</w:t>
      </w:r>
      <w:bookmarkEnd w:id="9"/>
      <w:r w:rsidRPr="00DF7866">
        <w:rPr>
          <w:rFonts w:cs="Arial"/>
          <w:szCs w:val="24"/>
        </w:rPr>
        <w:t xml:space="preserve"> </w:t>
      </w:r>
    </w:p>
    <w:p w:rsidR="00BA1BEC" w:rsidRPr="00DF7866" w:rsidRDefault="00BA1BEC" w:rsidP="00DF7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D2C87" w:rsidRPr="001F0DDB" w:rsidRDefault="000D2C87" w:rsidP="000D2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este periodo, los subtemas más solicitados fueron:</w:t>
      </w:r>
      <w:r w:rsidR="00F04A8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F04A8E" w:rsidRPr="001F0DDB">
        <w:rPr>
          <w:rFonts w:ascii="Arial" w:hAnsi="Arial" w:cs="Arial"/>
          <w:color w:val="000000"/>
          <w:sz w:val="24"/>
          <w:szCs w:val="24"/>
        </w:rPr>
        <w:t xml:space="preserve">Titulación Predial en Estratos 1 y 2 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siendo el más relevante con una participación del 3</w:t>
      </w:r>
      <w:r w:rsidR="00F04A8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="00F04A8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24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(1</w:t>
      </w:r>
      <w:r w:rsidR="00F04A8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18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); seguido por</w:t>
      </w:r>
      <w:r w:rsidRPr="001F0DDB">
        <w:rPr>
          <w:rFonts w:ascii="Arial" w:hAnsi="Arial" w:cs="Arial"/>
          <w:color w:val="000000"/>
          <w:sz w:val="24"/>
          <w:szCs w:val="24"/>
        </w:rPr>
        <w:t xml:space="preserve"> </w:t>
      </w:r>
      <w:r w:rsidR="00F04A8E" w:rsidRPr="001F0DDB">
        <w:rPr>
          <w:rFonts w:ascii="Arial" w:hAnsi="Arial" w:cs="Arial"/>
          <w:color w:val="000000"/>
          <w:sz w:val="24"/>
          <w:szCs w:val="24"/>
        </w:rPr>
        <w:t>Programa de Reasentamientos Humanos</w:t>
      </w:r>
      <w:r w:rsidR="00F04A8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 el 3</w:t>
      </w:r>
      <w:r w:rsidR="00252E8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="00252E8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39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252E8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115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); y </w:t>
      </w:r>
      <w:r w:rsidRPr="001F0DDB">
        <w:rPr>
          <w:rFonts w:ascii="Arial" w:hAnsi="Arial" w:cs="Arial"/>
          <w:color w:val="000000"/>
          <w:sz w:val="24"/>
          <w:szCs w:val="24"/>
        </w:rPr>
        <w:t>Subsidio para Mejoramiento de Vivienda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con el </w:t>
      </w:r>
      <w:r w:rsidR="004D031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12,68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4D031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45</w:t>
      </w:r>
      <w:r w:rsidRPr="001F0D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).  </w:t>
      </w:r>
    </w:p>
    <w:p w:rsidR="00397370" w:rsidRDefault="00397370" w:rsidP="00DF7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tbl>
      <w:tblPr>
        <w:tblStyle w:val="Tabladecuadrcula4-nfasis11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2340"/>
        <w:gridCol w:w="2196"/>
      </w:tblGrid>
      <w:tr w:rsidR="00F46A49" w:rsidRPr="00DD0860" w:rsidTr="00A93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F46A49" w:rsidRPr="00DD0860" w:rsidRDefault="00CF49E7" w:rsidP="00214E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0860">
              <w:rPr>
                <w:rFonts w:ascii="Arial" w:hAnsi="Arial" w:cs="Arial"/>
                <w:sz w:val="20"/>
                <w:szCs w:val="20"/>
                <w:lang w:val="es-ES"/>
              </w:rPr>
              <w:t>TABLA No. 2 - PQRSD INTERPUESTAS POR SUBTEMAS</w:t>
            </w:r>
          </w:p>
        </w:tc>
      </w:tr>
      <w:tr w:rsidR="00CF0855" w:rsidRPr="00DD0860" w:rsidTr="00A93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CF0855" w:rsidRPr="00DD0860" w:rsidRDefault="00CF0855" w:rsidP="00214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234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CF0855" w:rsidRPr="00DD0860" w:rsidRDefault="00CF0855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9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CF0855" w:rsidRPr="00DD0860" w:rsidRDefault="00CF0855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PORCENTAJE (%)</w:t>
            </w:r>
          </w:p>
        </w:tc>
      </w:tr>
      <w:tr w:rsidR="00CF0855" w:rsidRPr="00DD0860" w:rsidTr="00A9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CF0855" w:rsidRPr="00DD0860" w:rsidRDefault="00F46A49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Titulación</w:t>
            </w:r>
            <w:r w:rsidR="00E52392" w:rsidRPr="00DD0860">
              <w:rPr>
                <w:rFonts w:ascii="Arial" w:hAnsi="Arial" w:cs="Arial"/>
                <w:b w:val="0"/>
                <w:sz w:val="20"/>
                <w:szCs w:val="20"/>
              </w:rPr>
              <w:t xml:space="preserve"> predial en estratos 1 y 2</w:t>
            </w:r>
          </w:p>
        </w:tc>
        <w:tc>
          <w:tcPr>
            <w:tcW w:w="2340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196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33,24%</w:t>
            </w:r>
          </w:p>
        </w:tc>
      </w:tr>
      <w:tr w:rsidR="00CF0855" w:rsidRPr="00DD0860" w:rsidTr="00A935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E52392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Programa de reasentamientos humanos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32,39%</w:t>
            </w:r>
          </w:p>
        </w:tc>
      </w:tr>
      <w:tr w:rsidR="00CF0855" w:rsidRPr="00DD0860" w:rsidTr="00A9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E52392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Subsidio para mejoramiento de vivienda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12,68%</w:t>
            </w:r>
          </w:p>
        </w:tc>
      </w:tr>
      <w:tr w:rsidR="00CF0855" w:rsidRPr="00DD0860" w:rsidTr="00A935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C85C5C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Atención</w:t>
            </w:r>
            <w:r w:rsidR="00E52392" w:rsidRPr="00DD0860">
              <w:rPr>
                <w:rFonts w:ascii="Arial" w:hAnsi="Arial" w:cs="Arial"/>
                <w:b w:val="0"/>
                <w:sz w:val="20"/>
                <w:szCs w:val="20"/>
              </w:rPr>
              <w:t xml:space="preserve"> y servicio a la </w:t>
            </w: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ciudadanía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10,70%</w:t>
            </w:r>
          </w:p>
        </w:tc>
      </w:tr>
      <w:tr w:rsidR="00CF0855" w:rsidRPr="00DD0860" w:rsidTr="00A9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E52392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Obras de intervención en mejoras de barrios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4,51%</w:t>
            </w:r>
          </w:p>
        </w:tc>
      </w:tr>
      <w:tr w:rsidR="00CF0855" w:rsidRPr="00DD0860" w:rsidTr="00A935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E52392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Total 5 subtemas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93,52%</w:t>
            </w:r>
          </w:p>
        </w:tc>
      </w:tr>
      <w:tr w:rsidR="00CF0855" w:rsidRPr="00DD0860" w:rsidTr="00A9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:rsidR="00CF0855" w:rsidRPr="00DD0860" w:rsidRDefault="00E52392" w:rsidP="00011B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 w:val="0"/>
                <w:sz w:val="20"/>
                <w:szCs w:val="20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96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6,48%</w:t>
            </w:r>
          </w:p>
        </w:tc>
      </w:tr>
      <w:tr w:rsidR="00CF0855" w:rsidRPr="00DD0860" w:rsidTr="00A935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  <w:hideMark/>
          </w:tcPr>
          <w:p w:rsidR="00CF0855" w:rsidRPr="00DD0860" w:rsidRDefault="00CF0855" w:rsidP="00011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sz w:val="20"/>
                <w:szCs w:val="20"/>
              </w:rPr>
              <w:t>TOTAL GENERAL</w:t>
            </w:r>
          </w:p>
        </w:tc>
        <w:tc>
          <w:tcPr>
            <w:tcW w:w="2340" w:type="dxa"/>
            <w:noWrap/>
            <w:vAlign w:val="center"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2196" w:type="dxa"/>
            <w:noWrap/>
            <w:vAlign w:val="center"/>
            <w:hideMark/>
          </w:tcPr>
          <w:p w:rsidR="00CF0855" w:rsidRPr="00DD0860" w:rsidRDefault="00CF0855" w:rsidP="00011B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D0860">
              <w:rPr>
                <w:rFonts w:ascii="Arial" w:hAnsi="Arial" w:cs="Arial"/>
                <w:b/>
                <w:sz w:val="20"/>
                <w:szCs w:val="20"/>
              </w:rPr>
              <w:t>100,00%</w:t>
            </w:r>
          </w:p>
        </w:tc>
      </w:tr>
    </w:tbl>
    <w:p w:rsidR="0037381B" w:rsidRPr="007E2536" w:rsidRDefault="0037381B" w:rsidP="00ED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:rsidR="00397370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25C" w:rsidRPr="00DF7866" w:rsidRDefault="00F5525C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766" w:rsidRPr="00DF7866" w:rsidRDefault="00E80CDE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10" w:name="_Toc856315"/>
      <w:r w:rsidRPr="00DF7866">
        <w:rPr>
          <w:rFonts w:cs="Arial"/>
          <w:szCs w:val="24"/>
        </w:rPr>
        <w:t xml:space="preserve">Numero </w:t>
      </w:r>
      <w:r>
        <w:rPr>
          <w:rFonts w:cs="Arial"/>
          <w:szCs w:val="24"/>
        </w:rPr>
        <w:t>d</w:t>
      </w:r>
      <w:r w:rsidRPr="00DF7866">
        <w:rPr>
          <w:rFonts w:cs="Arial"/>
          <w:szCs w:val="24"/>
        </w:rPr>
        <w:t xml:space="preserve">e PQRSD Traslado </w:t>
      </w:r>
      <w:r>
        <w:rPr>
          <w:rFonts w:cs="Arial"/>
          <w:szCs w:val="24"/>
        </w:rPr>
        <w:t>p</w:t>
      </w:r>
      <w:r w:rsidRPr="00DF7866">
        <w:rPr>
          <w:rFonts w:cs="Arial"/>
          <w:szCs w:val="24"/>
        </w:rPr>
        <w:t>or No Competencia</w:t>
      </w:r>
      <w:bookmarkEnd w:id="10"/>
      <w:r w:rsidRPr="00DF7866">
        <w:rPr>
          <w:rFonts w:cs="Arial"/>
          <w:szCs w:val="24"/>
        </w:rPr>
        <w:t xml:space="preserve"> </w:t>
      </w:r>
    </w:p>
    <w:p w:rsidR="009F3766" w:rsidRPr="00E80CDE" w:rsidRDefault="009F3766" w:rsidP="00DF786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D40CAB" w:rsidRPr="00D40CAB" w:rsidRDefault="00D40CAB" w:rsidP="00D40CA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0CAB">
        <w:rPr>
          <w:rFonts w:ascii="Arial" w:hAnsi="Arial" w:cs="Arial"/>
          <w:color w:val="000000" w:themeColor="text1"/>
          <w:sz w:val="24"/>
          <w:szCs w:val="24"/>
        </w:rPr>
        <w:t xml:space="preserve">Del total de PQRSD recibidas en la entidad durante el mes de enero, cuatro </w:t>
      </w:r>
      <w:r w:rsidR="00562AC5">
        <w:rPr>
          <w:rFonts w:ascii="Arial" w:hAnsi="Arial" w:cs="Arial"/>
          <w:color w:val="000000" w:themeColor="text1"/>
          <w:sz w:val="24"/>
          <w:szCs w:val="24"/>
        </w:rPr>
        <w:t xml:space="preserve">(4) </w:t>
      </w:r>
      <w:r w:rsidR="0048518B" w:rsidRPr="00D40CAB">
        <w:rPr>
          <w:rFonts w:ascii="Arial" w:hAnsi="Arial" w:cs="Arial"/>
          <w:color w:val="000000" w:themeColor="text1"/>
          <w:sz w:val="24"/>
          <w:szCs w:val="24"/>
        </w:rPr>
        <w:t>peticiones fueron trasladadas</w:t>
      </w:r>
      <w:r w:rsidRPr="00D40CAB">
        <w:rPr>
          <w:rFonts w:ascii="Arial" w:hAnsi="Arial" w:cs="Arial"/>
          <w:color w:val="000000" w:themeColor="text1"/>
          <w:sz w:val="24"/>
          <w:szCs w:val="24"/>
        </w:rPr>
        <w:t xml:space="preserve"> por no competencia a otra entidad. </w:t>
      </w:r>
    </w:p>
    <w:p w:rsidR="00D40CAB" w:rsidRDefault="00D40CAB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7E39" w:rsidRDefault="006E7E39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815"/>
        <w:gridCol w:w="1701"/>
        <w:gridCol w:w="2835"/>
      </w:tblGrid>
      <w:tr w:rsidR="00B71883" w:rsidRPr="00A8580A" w:rsidTr="00B3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B71883" w:rsidRPr="00A8580A" w:rsidRDefault="00B71883" w:rsidP="00B7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hAnsi="Arial" w:cs="Arial"/>
                <w:sz w:val="20"/>
                <w:szCs w:val="20"/>
              </w:rPr>
              <w:t>TABLA No. 3 - PQRSD TRASLADO POR NO COMPETENCIA</w:t>
            </w:r>
          </w:p>
        </w:tc>
      </w:tr>
      <w:tr w:rsidR="00D40CAB" w:rsidRPr="00A8580A" w:rsidTr="00B3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D40CAB" w:rsidRPr="00A8580A" w:rsidRDefault="00D40CAB" w:rsidP="00485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D40CAB" w:rsidRPr="00A8580A" w:rsidRDefault="00D40CAB" w:rsidP="004851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D40CAB" w:rsidRPr="00A8580A" w:rsidRDefault="00D40CAB" w:rsidP="004851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D40CAB" w:rsidRPr="00A8580A" w:rsidTr="00A81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:rsidR="00D40CAB" w:rsidRPr="00A8580A" w:rsidRDefault="00694530" w:rsidP="00A8156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Secretaria del hábitat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35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D40CAB" w:rsidRPr="00A8580A" w:rsidTr="00A81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  <w:hideMark/>
          </w:tcPr>
          <w:p w:rsidR="00D40CAB" w:rsidRPr="00A8580A" w:rsidRDefault="00694530" w:rsidP="00A8156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Personería de Bogotá</w:t>
            </w:r>
          </w:p>
        </w:tc>
        <w:tc>
          <w:tcPr>
            <w:tcW w:w="1701" w:type="dxa"/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D40CAB" w:rsidRPr="00A8580A" w:rsidTr="00A81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  <w:hideMark/>
          </w:tcPr>
          <w:p w:rsidR="00D40CAB" w:rsidRPr="00A8580A" w:rsidRDefault="00D40CAB" w:rsidP="00A81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01" w:type="dxa"/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35" w:type="dxa"/>
            <w:noWrap/>
            <w:vAlign w:val="center"/>
            <w:hideMark/>
          </w:tcPr>
          <w:p w:rsidR="00D40CAB" w:rsidRPr="00A8580A" w:rsidRDefault="00D40CAB" w:rsidP="00B32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A858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:rsidR="00DB2667" w:rsidRPr="007E2536" w:rsidRDefault="00DB2667" w:rsidP="00DB2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:rsidR="00D40CAB" w:rsidRDefault="00D40CAB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C1AAE" w:rsidRDefault="003C1AAE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7E39" w:rsidRDefault="006E7E39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7E39" w:rsidRPr="00C908B0" w:rsidRDefault="006E7E39" w:rsidP="00D40CA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F3766" w:rsidRPr="00DF7866" w:rsidRDefault="00E80CDE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11" w:name="_Toc856316"/>
      <w:r w:rsidRPr="00DF7866">
        <w:rPr>
          <w:rFonts w:cs="Arial"/>
          <w:szCs w:val="24"/>
        </w:rPr>
        <w:lastRenderedPageBreak/>
        <w:t>Subtema Veedurías Ciudadanas</w:t>
      </w:r>
      <w:bookmarkEnd w:id="11"/>
    </w:p>
    <w:p w:rsidR="009F3766" w:rsidRPr="00DF7866" w:rsidRDefault="009F3766" w:rsidP="00DF786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1DA5" w:rsidRPr="004E4D52" w:rsidRDefault="00B31DA5" w:rsidP="00B31DA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4D52">
        <w:rPr>
          <w:rFonts w:ascii="Arial" w:hAnsi="Arial" w:cs="Arial"/>
          <w:color w:val="000000" w:themeColor="text1"/>
          <w:sz w:val="24"/>
          <w:szCs w:val="24"/>
        </w:rPr>
        <w:t xml:space="preserve">En el mes de enero del 2019 existieron </w:t>
      </w:r>
      <w:r w:rsidR="003421B7">
        <w:rPr>
          <w:rFonts w:ascii="Arial" w:hAnsi="Arial" w:cs="Arial"/>
          <w:color w:val="000000" w:themeColor="text1"/>
          <w:sz w:val="24"/>
          <w:szCs w:val="24"/>
        </w:rPr>
        <w:t>dos (</w:t>
      </w:r>
      <w:r w:rsidRPr="004E4D52">
        <w:rPr>
          <w:rFonts w:ascii="Arial" w:hAnsi="Arial" w:cs="Arial"/>
          <w:color w:val="000000" w:themeColor="text1"/>
          <w:sz w:val="24"/>
          <w:szCs w:val="24"/>
        </w:rPr>
        <w:t>2</w:t>
      </w:r>
      <w:r w:rsidR="003421B7">
        <w:rPr>
          <w:rFonts w:ascii="Arial" w:hAnsi="Arial" w:cs="Arial"/>
          <w:color w:val="000000" w:themeColor="text1"/>
          <w:sz w:val="24"/>
          <w:szCs w:val="24"/>
        </w:rPr>
        <w:t>)</w:t>
      </w:r>
      <w:r w:rsidRPr="004E4D52">
        <w:rPr>
          <w:rFonts w:ascii="Arial" w:hAnsi="Arial" w:cs="Arial"/>
          <w:color w:val="000000" w:themeColor="text1"/>
          <w:sz w:val="24"/>
          <w:szCs w:val="24"/>
        </w:rPr>
        <w:t xml:space="preserve"> peticiones con subtema de Veedurías Ciudadanas para la Caja de la Vivienda Popular.   </w:t>
      </w:r>
    </w:p>
    <w:p w:rsidR="009F3766" w:rsidRDefault="009F3766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dTable4Accent1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51358C" w:rsidRPr="00106933" w:rsidTr="00C80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51358C" w:rsidRPr="00106933" w:rsidRDefault="00A8580A" w:rsidP="0051358C">
            <w:pPr>
              <w:spacing w:after="0" w:line="240" w:lineRule="auto"/>
              <w:ind w:left="132" w:hanging="132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cs="Arial"/>
                <w:szCs w:val="24"/>
              </w:rPr>
              <w:t xml:space="preserve">TABLA No. </w:t>
            </w:r>
            <w:r w:rsidR="00C913FE">
              <w:rPr>
                <w:rFonts w:cs="Arial"/>
                <w:szCs w:val="24"/>
              </w:rPr>
              <w:t xml:space="preserve">4 - </w:t>
            </w:r>
            <w:r w:rsidR="0051358C" w:rsidRPr="00DF7866">
              <w:rPr>
                <w:rFonts w:cs="Arial"/>
                <w:szCs w:val="24"/>
              </w:rPr>
              <w:t>VEEDURÍAS CIUDADANAS</w:t>
            </w:r>
          </w:p>
        </w:tc>
      </w:tr>
      <w:tr w:rsidR="0051358C" w:rsidRPr="00106933" w:rsidTr="00D4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51358C" w:rsidRPr="0051358C" w:rsidRDefault="0051358C" w:rsidP="0051358C">
            <w:pPr>
              <w:spacing w:after="0" w:line="240" w:lineRule="auto"/>
              <w:ind w:left="132" w:hanging="132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51358C">
              <w:rPr>
                <w:rFonts w:ascii="Arial" w:hAnsi="Arial" w:cs="Arial"/>
                <w:color w:val="FFFFFF" w:themeColor="background1"/>
              </w:rPr>
              <w:t># Petición</w:t>
            </w:r>
          </w:p>
        </w:tc>
        <w:tc>
          <w:tcPr>
            <w:tcW w:w="1418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51358C" w:rsidRPr="0051358C" w:rsidRDefault="0051358C" w:rsidP="0051358C">
            <w:pPr>
              <w:spacing w:after="0" w:line="240" w:lineRule="auto"/>
              <w:ind w:left="132" w:hanging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358C">
              <w:rPr>
                <w:rFonts w:ascii="Arial" w:hAnsi="Arial" w:cs="Arial"/>
                <w:b/>
                <w:bCs/>
                <w:color w:val="FFFFFF" w:themeColor="background1"/>
              </w:rPr>
              <w:t>Cuenta de Numero petición</w:t>
            </w:r>
          </w:p>
        </w:tc>
      </w:tr>
      <w:tr w:rsidR="0051358C" w:rsidRPr="00106933" w:rsidTr="00D45E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1358C" w:rsidRPr="00106933" w:rsidRDefault="0051358C" w:rsidP="00214E9A">
            <w:pPr>
              <w:spacing w:after="0" w:line="240" w:lineRule="auto"/>
              <w:ind w:left="132" w:hanging="132"/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06933">
              <w:rPr>
                <w:rFonts w:ascii="Arial" w:hAnsi="Arial" w:cs="Arial"/>
                <w:color w:val="000000" w:themeColor="text1"/>
              </w:rPr>
              <w:t>89012019</w:t>
            </w:r>
          </w:p>
        </w:tc>
        <w:tc>
          <w:tcPr>
            <w:tcW w:w="1418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51358C" w:rsidRPr="00007BD8" w:rsidRDefault="0051358C" w:rsidP="003A12CE">
            <w:pPr>
              <w:spacing w:after="0" w:line="240" w:lineRule="auto"/>
              <w:ind w:left="132" w:hanging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7BD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51358C" w:rsidRPr="00106933" w:rsidTr="00D4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hideMark/>
          </w:tcPr>
          <w:p w:rsidR="0051358C" w:rsidRPr="0051358C" w:rsidRDefault="0051358C" w:rsidP="000766A6">
            <w:pPr>
              <w:spacing w:after="0" w:line="240" w:lineRule="auto"/>
              <w:ind w:left="164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Solicitud de </w:t>
            </w:r>
            <w:r w:rsidR="000766A6" w:rsidRPr="0051358C">
              <w:rPr>
                <w:rFonts w:ascii="Arial" w:hAnsi="Arial" w:cs="Arial"/>
                <w:b w:val="0"/>
                <w:color w:val="000000" w:themeColor="text1"/>
              </w:rPr>
              <w:t>veeduría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distrital con radicado de reasentamientos 2018ee20908 </w:t>
            </w:r>
            <w:r w:rsidR="000766A6" w:rsidRPr="0051358C">
              <w:rPr>
                <w:rFonts w:ascii="Arial" w:hAnsi="Arial" w:cs="Arial"/>
                <w:b w:val="0"/>
                <w:color w:val="000000" w:themeColor="text1"/>
              </w:rPr>
              <w:t>información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desembolso 30 millones de la </w:t>
            </w:r>
            <w:r w:rsidR="003A12CE" w:rsidRPr="0051358C">
              <w:rPr>
                <w:rFonts w:ascii="Arial" w:hAnsi="Arial" w:cs="Arial"/>
                <w:b w:val="0"/>
                <w:color w:val="000000" w:themeColor="text1"/>
              </w:rPr>
              <w:t>señora Cecilia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0766A6" w:rsidRPr="0051358C">
              <w:rPr>
                <w:rFonts w:ascii="Arial" w:hAnsi="Arial" w:cs="Arial"/>
                <w:b w:val="0"/>
                <w:color w:val="000000" w:themeColor="text1"/>
              </w:rPr>
              <w:t>calderón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del predio ubicado kr 1 h 38 f 16 sur y el avance con respecto al </w:t>
            </w:r>
            <w:r w:rsidR="000766A6" w:rsidRPr="0051358C">
              <w:rPr>
                <w:rFonts w:ascii="Arial" w:hAnsi="Arial" w:cs="Arial"/>
                <w:b w:val="0"/>
                <w:color w:val="000000" w:themeColor="text1"/>
              </w:rPr>
              <w:t>trámite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radicado en la notaria 51 para escritura </w:t>
            </w:r>
            <w:r w:rsidR="000766A6" w:rsidRPr="0051358C">
              <w:rPr>
                <w:rFonts w:ascii="Arial" w:hAnsi="Arial" w:cs="Arial"/>
                <w:b w:val="0"/>
                <w:color w:val="000000" w:themeColor="text1"/>
              </w:rPr>
              <w:t>pública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del inmueble</w:t>
            </w:r>
            <w:r w:rsidR="000766A6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</w:tc>
        <w:tc>
          <w:tcPr>
            <w:tcW w:w="1418" w:type="dxa"/>
            <w:noWrap/>
            <w:vAlign w:val="center"/>
            <w:hideMark/>
          </w:tcPr>
          <w:p w:rsidR="0051358C" w:rsidRPr="003A12CE" w:rsidRDefault="0051358C" w:rsidP="003A12CE">
            <w:pPr>
              <w:spacing w:after="0" w:line="240" w:lineRule="auto"/>
              <w:ind w:left="132" w:hanging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A12C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51358C" w:rsidRPr="00106933" w:rsidTr="00D45E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noWrap/>
            <w:hideMark/>
          </w:tcPr>
          <w:p w:rsidR="0051358C" w:rsidRPr="00106933" w:rsidRDefault="0051358C" w:rsidP="00214E9A">
            <w:pPr>
              <w:spacing w:after="0" w:line="240" w:lineRule="auto"/>
              <w:ind w:left="132" w:hanging="132"/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06933">
              <w:rPr>
                <w:rFonts w:ascii="Arial" w:hAnsi="Arial" w:cs="Arial"/>
                <w:color w:val="000000" w:themeColor="text1"/>
              </w:rPr>
              <w:t>89702019</w:t>
            </w:r>
          </w:p>
        </w:tc>
        <w:tc>
          <w:tcPr>
            <w:tcW w:w="1418" w:type="dxa"/>
            <w:noWrap/>
            <w:vAlign w:val="center"/>
            <w:hideMark/>
          </w:tcPr>
          <w:p w:rsidR="0051358C" w:rsidRPr="00007BD8" w:rsidRDefault="0051358C" w:rsidP="003A12CE">
            <w:pPr>
              <w:spacing w:after="0" w:line="240" w:lineRule="auto"/>
              <w:ind w:left="132" w:hanging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7BD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51358C" w:rsidRPr="00106933" w:rsidTr="00D4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noWrap/>
            <w:hideMark/>
          </w:tcPr>
          <w:p w:rsidR="0051358C" w:rsidRPr="0051358C" w:rsidRDefault="003A12CE" w:rsidP="003A12CE">
            <w:pPr>
              <w:spacing w:after="0" w:line="240" w:lineRule="auto"/>
              <w:ind w:left="164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>S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>olicita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comité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veeduría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ciudadana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línea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 alta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tensión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la paz –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Danubio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azul-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reunión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con la oficina de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titulación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de predios </w:t>
            </w:r>
            <w:r w:rsidRPr="0051358C">
              <w:rPr>
                <w:rFonts w:ascii="Arial" w:hAnsi="Arial" w:cs="Arial"/>
                <w:b w:val="0"/>
                <w:color w:val="000000" w:themeColor="text1"/>
              </w:rPr>
              <w:t>información</w:t>
            </w:r>
            <w:r w:rsidR="0051358C" w:rsidRPr="0051358C">
              <w:rPr>
                <w:rFonts w:ascii="Arial" w:hAnsi="Arial" w:cs="Arial"/>
                <w:b w:val="0"/>
                <w:color w:val="000000" w:themeColor="text1"/>
              </w:rPr>
              <w:t xml:space="preserve"> sobre los predios ubicados dentro de la red de servidumbre-proyecto chiguaza-</w:t>
            </w:r>
          </w:p>
        </w:tc>
        <w:tc>
          <w:tcPr>
            <w:tcW w:w="1418" w:type="dxa"/>
            <w:noWrap/>
            <w:vAlign w:val="center"/>
            <w:hideMark/>
          </w:tcPr>
          <w:p w:rsidR="0051358C" w:rsidRPr="003A12CE" w:rsidRDefault="0051358C" w:rsidP="003A12CE">
            <w:pPr>
              <w:spacing w:after="0" w:line="240" w:lineRule="auto"/>
              <w:ind w:left="132" w:hanging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A12C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51358C" w:rsidRPr="00106933" w:rsidTr="00D45E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noWrap/>
            <w:hideMark/>
          </w:tcPr>
          <w:p w:rsidR="0051358C" w:rsidRPr="00106933" w:rsidRDefault="0051358C" w:rsidP="00214E9A">
            <w:pPr>
              <w:spacing w:after="0" w:line="240" w:lineRule="auto"/>
              <w:ind w:left="132" w:hanging="132"/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06933">
              <w:rPr>
                <w:rFonts w:ascii="Arial" w:hAnsi="Arial" w:cs="Arial"/>
                <w:color w:val="000000" w:themeColor="text1"/>
              </w:rPr>
              <w:t>Total general</w:t>
            </w:r>
          </w:p>
        </w:tc>
        <w:tc>
          <w:tcPr>
            <w:tcW w:w="1418" w:type="dxa"/>
            <w:noWrap/>
            <w:vAlign w:val="center"/>
            <w:hideMark/>
          </w:tcPr>
          <w:p w:rsidR="0051358C" w:rsidRPr="003A12CE" w:rsidRDefault="0051358C" w:rsidP="003A12CE">
            <w:pPr>
              <w:spacing w:after="0" w:line="240" w:lineRule="auto"/>
              <w:ind w:left="132" w:hanging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12CE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</w:tr>
    </w:tbl>
    <w:p w:rsidR="008A3C5B" w:rsidRPr="007E2536" w:rsidRDefault="008A3C5B" w:rsidP="008A3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:rsidR="0051358C" w:rsidRDefault="0051358C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58C" w:rsidRDefault="0051358C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7370" w:rsidRPr="00DF7866" w:rsidRDefault="0046461C" w:rsidP="00DF7866">
      <w:pPr>
        <w:pStyle w:val="Ttulo2"/>
        <w:spacing w:before="0" w:after="0" w:line="240" w:lineRule="auto"/>
        <w:rPr>
          <w:rFonts w:cs="Arial"/>
          <w:noProof/>
          <w:szCs w:val="24"/>
        </w:rPr>
      </w:pPr>
      <w:bookmarkStart w:id="12" w:name="_Toc856317"/>
      <w:r w:rsidRPr="00DF7866">
        <w:rPr>
          <w:rFonts w:cs="Arial"/>
          <w:noProof/>
          <w:szCs w:val="24"/>
        </w:rPr>
        <w:t xml:space="preserve">Participación </w:t>
      </w:r>
      <w:r w:rsidR="00A107A4">
        <w:rPr>
          <w:rFonts w:cs="Arial"/>
          <w:noProof/>
          <w:szCs w:val="24"/>
        </w:rPr>
        <w:t>p</w:t>
      </w:r>
      <w:r w:rsidRPr="00DF7866">
        <w:rPr>
          <w:rFonts w:cs="Arial"/>
          <w:noProof/>
          <w:szCs w:val="24"/>
        </w:rPr>
        <w:t>or Localidad</w:t>
      </w:r>
      <w:bookmarkEnd w:id="12"/>
    </w:p>
    <w:p w:rsidR="00397370" w:rsidRPr="00DF7866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7370" w:rsidRPr="00DF7866" w:rsidRDefault="00D45EBB" w:rsidP="00DF78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85D9CB9" wp14:editId="1A523C0D">
            <wp:extent cx="5972175" cy="2543175"/>
            <wp:effectExtent l="0" t="0" r="9525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4CD" w:rsidRPr="007E2536" w:rsidRDefault="007C24CD" w:rsidP="007C24C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:rsidR="00397370" w:rsidRPr="00DF7866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4CD" w:rsidRPr="00DF7866" w:rsidRDefault="00216F96" w:rsidP="007C24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Como se puede observar en la anterior grafica (No. 5 PQRSD por </w:t>
      </w:r>
      <w:r w:rsidR="00DD508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ocalidad)</w:t>
      </w:r>
      <w:r w:rsidR="00DD5080">
        <w:rPr>
          <w:rFonts w:ascii="Arial" w:hAnsi="Arial" w:cs="Arial"/>
          <w:sz w:val="24"/>
          <w:szCs w:val="24"/>
        </w:rPr>
        <w:t>, d</w:t>
      </w:r>
      <w:r w:rsidR="007C24CD" w:rsidRPr="00DF7866">
        <w:rPr>
          <w:rFonts w:ascii="Arial" w:hAnsi="Arial" w:cs="Arial"/>
          <w:sz w:val="24"/>
          <w:szCs w:val="24"/>
        </w:rPr>
        <w:t xml:space="preserve">urante el mes de </w:t>
      </w:r>
      <w:r w:rsidR="007C24CD">
        <w:rPr>
          <w:rFonts w:ascii="Arial" w:hAnsi="Arial" w:cs="Arial"/>
          <w:sz w:val="24"/>
          <w:szCs w:val="24"/>
        </w:rPr>
        <w:t>enero</w:t>
      </w:r>
      <w:r w:rsidR="007C24CD" w:rsidRPr="00DF7866">
        <w:rPr>
          <w:rFonts w:ascii="Arial" w:hAnsi="Arial" w:cs="Arial"/>
          <w:sz w:val="24"/>
          <w:szCs w:val="24"/>
        </w:rPr>
        <w:t xml:space="preserve">, de acuerdo con la información que los ciudadanos facilitan al momento de interponer las </w:t>
      </w:r>
      <w:r w:rsidR="007C24CD">
        <w:rPr>
          <w:rFonts w:ascii="Arial" w:hAnsi="Arial" w:cs="Arial"/>
          <w:sz w:val="24"/>
          <w:szCs w:val="24"/>
        </w:rPr>
        <w:t>355</w:t>
      </w:r>
      <w:r w:rsidR="007C24CD" w:rsidRPr="00DF7866">
        <w:rPr>
          <w:rFonts w:ascii="Arial" w:hAnsi="Arial" w:cs="Arial"/>
          <w:sz w:val="24"/>
          <w:szCs w:val="24"/>
        </w:rPr>
        <w:t xml:space="preserve"> PQRSD, demuestran que el </w:t>
      </w:r>
      <w:r w:rsidR="007C24CD" w:rsidRPr="009F43CC">
        <w:rPr>
          <w:rFonts w:ascii="Arial" w:hAnsi="Arial" w:cs="Arial"/>
          <w:sz w:val="24"/>
          <w:szCs w:val="24"/>
        </w:rPr>
        <w:t>9,5</w:t>
      </w:r>
      <w:r w:rsidR="007C24CD">
        <w:rPr>
          <w:rFonts w:ascii="Arial" w:hAnsi="Arial" w:cs="Arial"/>
          <w:sz w:val="24"/>
          <w:szCs w:val="24"/>
        </w:rPr>
        <w:t>8</w:t>
      </w:r>
      <w:r w:rsidR="007C24CD" w:rsidRPr="00DF7866">
        <w:rPr>
          <w:rFonts w:ascii="Arial" w:hAnsi="Arial" w:cs="Arial"/>
          <w:sz w:val="24"/>
          <w:szCs w:val="24"/>
        </w:rPr>
        <w:t>% (</w:t>
      </w:r>
      <w:r w:rsidR="007C24CD">
        <w:rPr>
          <w:rFonts w:ascii="Arial" w:hAnsi="Arial" w:cs="Arial"/>
          <w:sz w:val="24"/>
          <w:szCs w:val="24"/>
        </w:rPr>
        <w:t>34</w:t>
      </w:r>
      <w:r w:rsidR="007C24CD" w:rsidRPr="00DF7866">
        <w:rPr>
          <w:rFonts w:ascii="Arial" w:hAnsi="Arial" w:cs="Arial"/>
          <w:sz w:val="24"/>
          <w:szCs w:val="24"/>
        </w:rPr>
        <w:t xml:space="preserve">) provienen de la localidad de </w:t>
      </w:r>
      <w:r w:rsidR="007C24CD">
        <w:rPr>
          <w:rFonts w:ascii="Arial" w:hAnsi="Arial" w:cs="Arial"/>
          <w:sz w:val="24"/>
          <w:szCs w:val="24"/>
        </w:rPr>
        <w:t xml:space="preserve">Ciudad Bolívar y el </w:t>
      </w:r>
      <w:r w:rsidR="007C24CD" w:rsidRPr="00B0645E">
        <w:rPr>
          <w:rFonts w:ascii="Arial" w:hAnsi="Arial" w:cs="Arial"/>
          <w:sz w:val="24"/>
          <w:szCs w:val="24"/>
        </w:rPr>
        <w:t>3,38</w:t>
      </w:r>
      <w:r w:rsidR="007C24CD" w:rsidRPr="00DF7866">
        <w:rPr>
          <w:rFonts w:ascii="Arial" w:hAnsi="Arial" w:cs="Arial"/>
          <w:sz w:val="24"/>
          <w:szCs w:val="24"/>
        </w:rPr>
        <w:t xml:space="preserve"> % (</w:t>
      </w:r>
      <w:r w:rsidR="007C24CD">
        <w:rPr>
          <w:rFonts w:ascii="Arial" w:hAnsi="Arial" w:cs="Arial"/>
          <w:sz w:val="24"/>
          <w:szCs w:val="24"/>
        </w:rPr>
        <w:t>12</w:t>
      </w:r>
      <w:r w:rsidR="007C24CD" w:rsidRPr="00DF7866">
        <w:rPr>
          <w:rFonts w:ascii="Arial" w:hAnsi="Arial" w:cs="Arial"/>
          <w:sz w:val="24"/>
          <w:szCs w:val="24"/>
        </w:rPr>
        <w:t xml:space="preserve">) vienen de la localidad de </w:t>
      </w:r>
      <w:r w:rsidR="007C24CD">
        <w:rPr>
          <w:rFonts w:ascii="Arial" w:hAnsi="Arial" w:cs="Arial"/>
          <w:sz w:val="24"/>
          <w:szCs w:val="24"/>
        </w:rPr>
        <w:t>Usme</w:t>
      </w:r>
      <w:r w:rsidR="007C24CD" w:rsidRPr="00DF7866">
        <w:rPr>
          <w:rFonts w:ascii="Arial" w:hAnsi="Arial" w:cs="Arial"/>
          <w:sz w:val="24"/>
          <w:szCs w:val="24"/>
        </w:rPr>
        <w:t>.</w:t>
      </w:r>
    </w:p>
    <w:p w:rsidR="00BE55C8" w:rsidRDefault="00BE55C8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2D2D" w:rsidRPr="00DF7866" w:rsidRDefault="00672D2D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7370" w:rsidRPr="00DF7866" w:rsidRDefault="00EF710E" w:rsidP="00DF7866">
      <w:pPr>
        <w:pStyle w:val="Ttulo2"/>
        <w:spacing w:before="0" w:after="0" w:line="240" w:lineRule="auto"/>
        <w:rPr>
          <w:rFonts w:cs="Arial"/>
          <w:noProof/>
          <w:szCs w:val="24"/>
        </w:rPr>
      </w:pPr>
      <w:bookmarkStart w:id="13" w:name="_Toc856318"/>
      <w:r w:rsidRPr="00DF7866">
        <w:rPr>
          <w:rFonts w:cs="Arial"/>
          <w:noProof/>
          <w:szCs w:val="24"/>
        </w:rPr>
        <w:t xml:space="preserve">Participación </w:t>
      </w:r>
      <w:r>
        <w:rPr>
          <w:rFonts w:cs="Arial"/>
          <w:noProof/>
          <w:szCs w:val="24"/>
        </w:rPr>
        <w:t>p</w:t>
      </w:r>
      <w:r w:rsidRPr="00DF7866">
        <w:rPr>
          <w:rFonts w:cs="Arial"/>
          <w:noProof/>
          <w:szCs w:val="24"/>
        </w:rPr>
        <w:t>or Estrato Socioeconomico</w:t>
      </w:r>
      <w:bookmarkEnd w:id="13"/>
    </w:p>
    <w:p w:rsidR="00397370" w:rsidRPr="00DF7866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750" w:rsidRPr="00563750" w:rsidRDefault="00563750" w:rsidP="0056375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563750">
        <w:rPr>
          <w:rFonts w:ascii="Arial" w:hAnsi="Arial" w:cs="Arial"/>
          <w:noProof/>
          <w:sz w:val="24"/>
          <w:szCs w:val="24"/>
          <w:lang w:val="es-ES" w:eastAsia="es-ES"/>
        </w:rPr>
        <w:t>Dentro de la informacion reportada en las 355 PQRSD interpuestas en el mes de enero, la gran mayoria de los ciudadanos registraron su estrato socioeconomico donde prevalece el 1 y 2, los cuales corresponde al grupo objetivo de la entidad.</w:t>
      </w:r>
    </w:p>
    <w:p w:rsidR="00397370" w:rsidRPr="00563750" w:rsidRDefault="00397370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397370" w:rsidRPr="00DF7866" w:rsidRDefault="0056375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7006FA9" wp14:editId="56C86290">
            <wp:extent cx="5612130" cy="3352800"/>
            <wp:effectExtent l="0" t="0" r="762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18AA" w:rsidRPr="007E2536" w:rsidRDefault="00BE18AA" w:rsidP="00BE18AA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:rsidR="00397370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1C72" w:rsidRPr="00DF7866" w:rsidRDefault="00371C72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2C0" w:rsidRPr="00DF7866" w:rsidRDefault="00A43601" w:rsidP="00DF7866">
      <w:pPr>
        <w:pStyle w:val="Ttulo2"/>
        <w:spacing w:before="0" w:after="0" w:line="240" w:lineRule="auto"/>
        <w:rPr>
          <w:rFonts w:cs="Arial"/>
          <w:noProof/>
          <w:szCs w:val="24"/>
        </w:rPr>
      </w:pPr>
      <w:bookmarkStart w:id="14" w:name="_Toc856319"/>
      <w:r w:rsidRPr="00DF7866">
        <w:rPr>
          <w:rFonts w:cs="Arial"/>
          <w:noProof/>
          <w:szCs w:val="24"/>
        </w:rPr>
        <w:t xml:space="preserve">Tipo </w:t>
      </w:r>
      <w:r>
        <w:rPr>
          <w:rFonts w:cs="Arial"/>
          <w:noProof/>
          <w:szCs w:val="24"/>
        </w:rPr>
        <w:t>d</w:t>
      </w:r>
      <w:r w:rsidRPr="00DF7866">
        <w:rPr>
          <w:rFonts w:cs="Arial"/>
          <w:noProof/>
          <w:szCs w:val="24"/>
        </w:rPr>
        <w:t>e Requiriente</w:t>
      </w:r>
      <w:bookmarkEnd w:id="14"/>
    </w:p>
    <w:p w:rsidR="006E42C0" w:rsidRPr="00DF7866" w:rsidRDefault="006E42C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2C0" w:rsidRPr="00DF7866" w:rsidRDefault="006E42C0" w:rsidP="00DF786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 xml:space="preserve">De las </w:t>
      </w:r>
      <w:r w:rsidR="00AE7132">
        <w:rPr>
          <w:rFonts w:ascii="Arial" w:hAnsi="Arial" w:cs="Arial"/>
          <w:noProof/>
          <w:sz w:val="24"/>
          <w:szCs w:val="24"/>
          <w:lang w:val="es-ES" w:eastAsia="es-ES"/>
        </w:rPr>
        <w:t>355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 xml:space="preserve"> (</w:t>
      </w:r>
      <w:r w:rsidR="00AE7132">
        <w:rPr>
          <w:rFonts w:ascii="Arial" w:hAnsi="Arial" w:cs="Arial"/>
          <w:noProof/>
          <w:sz w:val="24"/>
          <w:szCs w:val="24"/>
          <w:lang w:val="es-ES" w:eastAsia="es-ES"/>
        </w:rPr>
        <w:t>100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 xml:space="preserve">%) PQRSD interpuestas ante la CVP, el </w:t>
      </w:r>
      <w:r w:rsidR="00262D83" w:rsidRPr="00262D83">
        <w:rPr>
          <w:rFonts w:ascii="Arial" w:hAnsi="Arial" w:cs="Arial"/>
          <w:noProof/>
          <w:sz w:val="24"/>
          <w:szCs w:val="24"/>
          <w:lang w:val="es-ES" w:eastAsia="es-ES"/>
        </w:rPr>
        <w:t>95,49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>% (</w:t>
      </w:r>
      <w:r w:rsidR="00262D83">
        <w:rPr>
          <w:rFonts w:ascii="Arial" w:hAnsi="Arial" w:cs="Arial"/>
          <w:noProof/>
          <w:sz w:val="24"/>
          <w:szCs w:val="24"/>
          <w:lang w:val="es-ES" w:eastAsia="es-ES"/>
        </w:rPr>
        <w:t>339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 xml:space="preserve">) son personas naturales, el </w:t>
      </w:r>
      <w:r w:rsidR="00262D83" w:rsidRPr="00262D83">
        <w:rPr>
          <w:rFonts w:ascii="Arial" w:hAnsi="Arial" w:cs="Arial"/>
          <w:noProof/>
          <w:sz w:val="24"/>
          <w:szCs w:val="24"/>
          <w:lang w:val="es-ES" w:eastAsia="es-ES"/>
        </w:rPr>
        <w:t>3,38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>% (</w:t>
      </w:r>
      <w:r w:rsidR="00262D83">
        <w:rPr>
          <w:rFonts w:ascii="Arial" w:hAnsi="Arial" w:cs="Arial"/>
          <w:noProof/>
          <w:sz w:val="24"/>
          <w:szCs w:val="24"/>
          <w:lang w:val="es-ES" w:eastAsia="es-ES"/>
        </w:rPr>
        <w:t>12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 xml:space="preserve">) son personas juridicas y el </w:t>
      </w:r>
      <w:r w:rsidR="00262D83" w:rsidRPr="00262D83">
        <w:rPr>
          <w:rFonts w:ascii="Arial" w:hAnsi="Arial" w:cs="Arial"/>
          <w:noProof/>
          <w:sz w:val="24"/>
          <w:szCs w:val="24"/>
          <w:lang w:val="es-ES" w:eastAsia="es-ES"/>
        </w:rPr>
        <w:t>1,1</w:t>
      </w:r>
      <w:r w:rsidR="00262D83">
        <w:rPr>
          <w:rFonts w:ascii="Arial" w:hAnsi="Arial" w:cs="Arial"/>
          <w:noProof/>
          <w:sz w:val="24"/>
          <w:szCs w:val="24"/>
          <w:lang w:val="es-ES" w:eastAsia="es-ES"/>
        </w:rPr>
        <w:t>3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>% (</w:t>
      </w:r>
      <w:r w:rsidR="00262D83">
        <w:rPr>
          <w:rFonts w:ascii="Arial" w:hAnsi="Arial" w:cs="Arial"/>
          <w:noProof/>
          <w:sz w:val="24"/>
          <w:szCs w:val="24"/>
          <w:lang w:val="es-ES" w:eastAsia="es-ES"/>
        </w:rPr>
        <w:t>4</w:t>
      </w: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>) no suministraron esta información</w:t>
      </w:r>
      <w:r w:rsidR="00156B84" w:rsidRPr="00DF7866">
        <w:rPr>
          <w:rFonts w:ascii="Arial" w:hAnsi="Arial" w:cs="Arial"/>
          <w:noProof/>
          <w:sz w:val="24"/>
          <w:szCs w:val="24"/>
          <w:lang w:val="es-ES" w:eastAsia="es-ES"/>
        </w:rPr>
        <w:t>.</w:t>
      </w:r>
    </w:p>
    <w:p w:rsidR="00156B84" w:rsidRPr="00DF7866" w:rsidRDefault="00156B84" w:rsidP="00DF786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397370" w:rsidRDefault="00026144" w:rsidP="00DF7866">
      <w:pPr>
        <w:spacing w:after="0" w:line="240" w:lineRule="auto"/>
        <w:rPr>
          <w:rFonts w:ascii="Arial" w:hAnsi="Arial" w:cs="Arial"/>
          <w:noProof/>
          <w:sz w:val="24"/>
          <w:szCs w:val="24"/>
          <w:lang w:val="es-ES"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2370280F" wp14:editId="20BD8CD6">
            <wp:extent cx="5943600" cy="3609975"/>
            <wp:effectExtent l="0" t="0" r="0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6144" w:rsidRPr="007E2536" w:rsidRDefault="00026144" w:rsidP="0002614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:rsidR="006E42C0" w:rsidRDefault="006E42C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8C2" w:rsidRPr="00DF7866" w:rsidRDefault="001F58C2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1F" w:rsidRPr="00DF7866" w:rsidRDefault="00B856BA" w:rsidP="00DF7866">
      <w:pPr>
        <w:pStyle w:val="Ttulo2"/>
        <w:spacing w:before="0" w:after="0" w:line="240" w:lineRule="auto"/>
        <w:rPr>
          <w:rFonts w:cs="Arial"/>
          <w:noProof/>
          <w:szCs w:val="24"/>
        </w:rPr>
      </w:pPr>
      <w:bookmarkStart w:id="15" w:name="_Toc856320"/>
      <w:r w:rsidRPr="00DF7866">
        <w:rPr>
          <w:rFonts w:cs="Arial"/>
          <w:noProof/>
          <w:szCs w:val="24"/>
        </w:rPr>
        <w:t xml:space="preserve">Calidad </w:t>
      </w:r>
      <w:r>
        <w:rPr>
          <w:rFonts w:cs="Arial"/>
          <w:noProof/>
          <w:szCs w:val="24"/>
        </w:rPr>
        <w:t>d</w:t>
      </w:r>
      <w:r w:rsidRPr="00DF7866">
        <w:rPr>
          <w:rFonts w:cs="Arial"/>
          <w:noProof/>
          <w:szCs w:val="24"/>
        </w:rPr>
        <w:t>el Requiriente</w:t>
      </w:r>
      <w:bookmarkEnd w:id="15"/>
      <w:r w:rsidRPr="00DF7866">
        <w:rPr>
          <w:rFonts w:cs="Arial"/>
          <w:noProof/>
          <w:szCs w:val="24"/>
        </w:rPr>
        <w:t xml:space="preserve"> </w:t>
      </w:r>
    </w:p>
    <w:p w:rsidR="00977C1F" w:rsidRPr="00DF7866" w:rsidRDefault="00977C1F" w:rsidP="00DF7866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977C1F" w:rsidRPr="00DF7866" w:rsidRDefault="00977C1F" w:rsidP="00DF786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F7866">
        <w:rPr>
          <w:rFonts w:ascii="Arial" w:hAnsi="Arial" w:cs="Arial"/>
          <w:noProof/>
          <w:sz w:val="24"/>
          <w:szCs w:val="24"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p w:rsidR="006E42C0" w:rsidRPr="00DF7866" w:rsidRDefault="006E42C0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decuadrcula4-nfasis1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CD1E39" w:rsidRPr="00C913FE" w:rsidTr="005B2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CD1E39" w:rsidRPr="00C913FE" w:rsidRDefault="00CD1E39" w:rsidP="00DF7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13FE">
              <w:rPr>
                <w:rFonts w:ascii="Arial" w:hAnsi="Arial" w:cs="Arial"/>
                <w:sz w:val="20"/>
                <w:szCs w:val="20"/>
                <w:lang w:val="es-ES"/>
              </w:rPr>
              <w:t xml:space="preserve">TABLA No. </w:t>
            </w:r>
            <w:r w:rsidR="00C913FE">
              <w:rPr>
                <w:rFonts w:ascii="Arial" w:hAnsi="Arial" w:cs="Arial"/>
                <w:sz w:val="20"/>
                <w:szCs w:val="20"/>
                <w:lang w:val="es-ES"/>
              </w:rPr>
              <w:t xml:space="preserve">5 </w:t>
            </w:r>
            <w:r w:rsidRPr="00C913FE">
              <w:rPr>
                <w:rFonts w:ascii="Arial" w:hAnsi="Arial" w:cs="Arial"/>
                <w:sz w:val="20"/>
                <w:szCs w:val="20"/>
                <w:lang w:val="es-ES"/>
              </w:rPr>
              <w:t xml:space="preserve">– </w:t>
            </w:r>
            <w:r w:rsidRPr="00C913FE">
              <w:rPr>
                <w:rFonts w:ascii="Arial" w:hAnsi="Arial" w:cs="Arial"/>
                <w:noProof/>
                <w:sz w:val="20"/>
                <w:szCs w:val="20"/>
              </w:rPr>
              <w:t>CALIDAD DEL REQUIRIENTE</w:t>
            </w:r>
          </w:p>
        </w:tc>
      </w:tr>
      <w:tr w:rsidR="00394D55" w:rsidRPr="00C913FE" w:rsidTr="005B2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394D55" w:rsidRPr="005B2738" w:rsidRDefault="00394D55" w:rsidP="00394D5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eastAsia="es-CO"/>
              </w:rPr>
            </w:pPr>
            <w:r w:rsidRPr="005B273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98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394D55" w:rsidRPr="005B2738" w:rsidRDefault="00394D55" w:rsidP="00394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5B273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216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noWrap/>
            <w:vAlign w:val="center"/>
            <w:hideMark/>
          </w:tcPr>
          <w:p w:rsidR="00394D55" w:rsidRPr="005B2738" w:rsidRDefault="00394D55" w:rsidP="00394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5B273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PORCENTAJE</w:t>
            </w:r>
          </w:p>
        </w:tc>
      </w:tr>
      <w:tr w:rsidR="00394D55" w:rsidRPr="00C913FE" w:rsidTr="0053083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394D55" w:rsidRPr="00C913FE" w:rsidRDefault="00394D55" w:rsidP="005B2738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Anónimo</w:t>
            </w:r>
          </w:p>
        </w:tc>
        <w:tc>
          <w:tcPr>
            <w:tcW w:w="198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394D55" w:rsidRPr="00C913FE" w:rsidRDefault="00394D55" w:rsidP="005B2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167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394D55" w:rsidRPr="00C913FE" w:rsidRDefault="00A9451B" w:rsidP="005B2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  <w:r w:rsidR="00394D55" w:rsidRPr="00C913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94D55" w:rsidRPr="00C913FE" w:rsidTr="00530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:rsidR="00394D55" w:rsidRPr="00C913FE" w:rsidRDefault="00394D55" w:rsidP="005B2738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vAlign w:val="center"/>
          </w:tcPr>
          <w:p w:rsidR="00394D55" w:rsidRPr="00C913FE" w:rsidRDefault="00394D55" w:rsidP="005B27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2167" w:type="dxa"/>
            <w:noWrap/>
            <w:vAlign w:val="center"/>
          </w:tcPr>
          <w:p w:rsidR="00394D55" w:rsidRPr="00C913FE" w:rsidRDefault="00A9451B" w:rsidP="005B27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98,87</w:t>
            </w:r>
            <w:r w:rsidR="00394D55" w:rsidRPr="00C913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94D55" w:rsidRPr="00C913FE" w:rsidTr="0053083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:rsidR="00394D55" w:rsidRPr="00C913FE" w:rsidRDefault="00394D55" w:rsidP="005B273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5" w:type="dxa"/>
            <w:noWrap/>
            <w:vAlign w:val="center"/>
          </w:tcPr>
          <w:p w:rsidR="00394D55" w:rsidRPr="00C913FE" w:rsidRDefault="00394D55" w:rsidP="005B2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2167" w:type="dxa"/>
            <w:noWrap/>
            <w:vAlign w:val="center"/>
          </w:tcPr>
          <w:p w:rsidR="00394D55" w:rsidRPr="00C913FE" w:rsidRDefault="00394D55" w:rsidP="005B2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913FE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</w:tbl>
    <w:p w:rsidR="00530838" w:rsidRPr="007E2536" w:rsidRDefault="00530838" w:rsidP="0053083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:rsidR="00397370" w:rsidRDefault="00397370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59A" w:rsidRDefault="00DE759A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2DD" w:rsidRDefault="000C02DD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175" w:rsidRDefault="002839D2" w:rsidP="00DF7866">
      <w:pPr>
        <w:pStyle w:val="Ttulo1"/>
        <w:spacing w:before="0" w:after="0" w:line="240" w:lineRule="auto"/>
        <w:jc w:val="left"/>
        <w:rPr>
          <w:rFonts w:cs="Arial"/>
          <w:szCs w:val="24"/>
        </w:rPr>
      </w:pPr>
      <w:bookmarkStart w:id="16" w:name="_Toc856321"/>
      <w:r w:rsidRPr="00DF7866">
        <w:rPr>
          <w:rFonts w:cs="Arial"/>
          <w:szCs w:val="24"/>
        </w:rPr>
        <w:lastRenderedPageBreak/>
        <w:t xml:space="preserve">OPORTUNIDAD DE RESPUESTA A LAS PQRSD EN EL MES DE </w:t>
      </w:r>
      <w:r w:rsidR="00635DA8">
        <w:rPr>
          <w:rFonts w:cs="Arial"/>
          <w:szCs w:val="24"/>
        </w:rPr>
        <w:t>ENERO</w:t>
      </w:r>
      <w:bookmarkEnd w:id="16"/>
    </w:p>
    <w:p w:rsidR="00DE759A" w:rsidRPr="00DE759A" w:rsidRDefault="00DE759A" w:rsidP="00DE759A">
      <w:pPr>
        <w:rPr>
          <w:lang w:val="es-ES_tradnl" w:eastAsia="es-ES"/>
        </w:rPr>
      </w:pPr>
    </w:p>
    <w:p w:rsidR="00E8593F" w:rsidRPr="00DF7866" w:rsidRDefault="00843209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17" w:name="_Toc856322"/>
      <w:r w:rsidRPr="00DF7866">
        <w:rPr>
          <w:rFonts w:cs="Arial"/>
          <w:szCs w:val="24"/>
        </w:rPr>
        <w:t xml:space="preserve">PQRSD Cerradas Presentadas </w:t>
      </w:r>
      <w:r w:rsidR="00510084" w:rsidRPr="00DF7866">
        <w:rPr>
          <w:rFonts w:cs="Arial"/>
          <w:szCs w:val="24"/>
        </w:rPr>
        <w:t xml:space="preserve">en el </w:t>
      </w:r>
      <w:r w:rsidRPr="00DF7866">
        <w:rPr>
          <w:rFonts w:cs="Arial"/>
          <w:szCs w:val="24"/>
        </w:rPr>
        <w:t>Período Actual</w:t>
      </w:r>
      <w:bookmarkEnd w:id="17"/>
      <w:r w:rsidRPr="00DF7866">
        <w:rPr>
          <w:rFonts w:cs="Arial"/>
          <w:szCs w:val="24"/>
        </w:rPr>
        <w:t xml:space="preserve"> </w:t>
      </w: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De las </w:t>
      </w:r>
      <w:r w:rsidR="007D1F2E">
        <w:rPr>
          <w:rFonts w:ascii="Arial" w:hAnsi="Arial" w:cs="Arial"/>
          <w:color w:val="000000" w:themeColor="text1"/>
          <w:sz w:val="24"/>
          <w:szCs w:val="24"/>
        </w:rPr>
        <w:t>355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D1F2E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PQRSD recibidas en </w:t>
      </w:r>
      <w:r w:rsidR="001702D1">
        <w:rPr>
          <w:rFonts w:ascii="Arial" w:hAnsi="Arial" w:cs="Arial"/>
          <w:color w:val="000000" w:themeColor="text1"/>
          <w:sz w:val="24"/>
          <w:szCs w:val="24"/>
        </w:rPr>
        <w:t>enero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, el </w:t>
      </w:r>
      <w:r w:rsidR="006B343F" w:rsidRPr="006B343F">
        <w:rPr>
          <w:rFonts w:ascii="Arial" w:hAnsi="Arial" w:cs="Arial"/>
          <w:color w:val="000000" w:themeColor="text1"/>
          <w:sz w:val="24"/>
          <w:szCs w:val="24"/>
        </w:rPr>
        <w:t>21,4</w:t>
      </w:r>
      <w:r w:rsidR="006B343F">
        <w:rPr>
          <w:rFonts w:ascii="Arial" w:hAnsi="Arial" w:cs="Arial"/>
          <w:color w:val="000000" w:themeColor="text1"/>
          <w:sz w:val="24"/>
          <w:szCs w:val="24"/>
        </w:rPr>
        <w:t>1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 (</w:t>
      </w:r>
      <w:r w:rsidR="006B343F">
        <w:rPr>
          <w:rFonts w:ascii="Arial" w:hAnsi="Arial" w:cs="Arial"/>
          <w:color w:val="000000" w:themeColor="text1"/>
          <w:sz w:val="24"/>
          <w:szCs w:val="24"/>
        </w:rPr>
        <w:t>76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) debieron responderse antes de finalizar el mismo periodo de recibidas. De estas, se logró generar y entregar respuestas al </w:t>
      </w:r>
      <w:r w:rsidR="005507CC" w:rsidRPr="00597164">
        <w:rPr>
          <w:rFonts w:ascii="Arial" w:hAnsi="Arial" w:cs="Arial"/>
          <w:sz w:val="24"/>
          <w:szCs w:val="24"/>
          <w:lang w:val="es-ES"/>
        </w:rPr>
        <w:t>94,7</w:t>
      </w:r>
      <w:r w:rsidR="005507CC">
        <w:rPr>
          <w:rFonts w:ascii="Arial" w:hAnsi="Arial" w:cs="Arial"/>
          <w:sz w:val="24"/>
          <w:szCs w:val="24"/>
          <w:lang w:val="es-ES"/>
        </w:rPr>
        <w:t>4</w:t>
      </w:r>
      <w:r w:rsidRPr="00DF7866">
        <w:rPr>
          <w:rFonts w:ascii="Arial" w:hAnsi="Arial" w:cs="Arial"/>
          <w:sz w:val="24"/>
          <w:szCs w:val="24"/>
          <w:lang w:val="es-ES"/>
        </w:rPr>
        <w:t>% (</w:t>
      </w:r>
      <w:r w:rsidR="005507CC">
        <w:rPr>
          <w:rFonts w:ascii="Arial" w:hAnsi="Arial" w:cs="Arial"/>
          <w:sz w:val="24"/>
          <w:szCs w:val="24"/>
          <w:lang w:val="es-ES"/>
        </w:rPr>
        <w:t>72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 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de ellas.</w:t>
      </w: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De las anteriores </w:t>
      </w:r>
      <w:r w:rsidR="00CE66AB">
        <w:rPr>
          <w:rFonts w:ascii="Arial" w:hAnsi="Arial" w:cs="Arial"/>
          <w:color w:val="000000" w:themeColor="text1"/>
          <w:sz w:val="24"/>
          <w:szCs w:val="24"/>
        </w:rPr>
        <w:t>72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C42D0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PQRSD cerradas en el mismo periodo de presentación, del </w:t>
      </w:r>
      <w:r w:rsidR="00F34BAA" w:rsidRPr="00F34BAA">
        <w:rPr>
          <w:rFonts w:ascii="Arial" w:hAnsi="Arial" w:cs="Arial"/>
          <w:color w:val="000000" w:themeColor="text1"/>
          <w:sz w:val="24"/>
          <w:szCs w:val="24"/>
        </w:rPr>
        <w:t>97,22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 (</w:t>
      </w:r>
      <w:r w:rsidR="00F34BAA">
        <w:rPr>
          <w:rFonts w:ascii="Arial" w:hAnsi="Arial" w:cs="Arial"/>
          <w:color w:val="000000" w:themeColor="text1"/>
          <w:sz w:val="24"/>
          <w:szCs w:val="24"/>
        </w:rPr>
        <w:t>70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) se solucionaron de manera oportuna y tan solo </w:t>
      </w:r>
      <w:r w:rsidR="00F34BAA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34BAA" w:rsidRPr="00F34BAA">
        <w:rPr>
          <w:rFonts w:ascii="Arial" w:hAnsi="Arial" w:cs="Arial"/>
          <w:color w:val="000000" w:themeColor="text1"/>
          <w:sz w:val="24"/>
          <w:szCs w:val="24"/>
        </w:rPr>
        <w:t>2,7</w:t>
      </w:r>
      <w:r w:rsidR="00F34BAA">
        <w:rPr>
          <w:rFonts w:ascii="Arial" w:hAnsi="Arial" w:cs="Arial"/>
          <w:color w:val="000000" w:themeColor="text1"/>
          <w:sz w:val="24"/>
          <w:szCs w:val="24"/>
        </w:rPr>
        <w:t>8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%) se generó de manera inoportuna, ósea por fuera de los tiempos que determina la Ley.</w:t>
      </w: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En total, de las recibidas en </w:t>
      </w:r>
      <w:r w:rsidR="00D60AA2">
        <w:rPr>
          <w:rFonts w:ascii="Arial" w:hAnsi="Arial" w:cs="Arial"/>
          <w:color w:val="000000" w:themeColor="text1"/>
          <w:sz w:val="24"/>
          <w:szCs w:val="24"/>
        </w:rPr>
        <w:t xml:space="preserve">enero, 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se solucionaron </w:t>
      </w:r>
      <w:r w:rsidR="004861E6">
        <w:rPr>
          <w:rFonts w:ascii="Arial" w:hAnsi="Arial" w:cs="Arial"/>
          <w:color w:val="000000" w:themeColor="text1"/>
          <w:sz w:val="24"/>
          <w:szCs w:val="24"/>
        </w:rPr>
        <w:t>189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01978" w:rsidRPr="00201978">
        <w:rPr>
          <w:rFonts w:ascii="Arial" w:hAnsi="Arial" w:cs="Arial"/>
          <w:color w:val="000000" w:themeColor="text1"/>
          <w:sz w:val="24"/>
          <w:szCs w:val="24"/>
        </w:rPr>
        <w:t>53,2</w:t>
      </w:r>
      <w:r w:rsidR="00201978">
        <w:rPr>
          <w:rFonts w:ascii="Arial" w:hAnsi="Arial" w:cs="Arial"/>
          <w:color w:val="000000" w:themeColor="text1"/>
          <w:sz w:val="24"/>
          <w:szCs w:val="24"/>
        </w:rPr>
        <w:t>4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PQRSD, </w:t>
      </w:r>
      <w:r w:rsidR="003F5A66">
        <w:rPr>
          <w:rFonts w:ascii="Arial" w:hAnsi="Arial" w:cs="Arial"/>
          <w:color w:val="000000" w:themeColor="text1"/>
          <w:sz w:val="24"/>
          <w:szCs w:val="24"/>
        </w:rPr>
        <w:t>72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F5A66" w:rsidRPr="003F5A66">
        <w:rPr>
          <w:rFonts w:ascii="Arial" w:hAnsi="Arial" w:cs="Arial"/>
          <w:color w:val="000000" w:themeColor="text1"/>
          <w:sz w:val="24"/>
          <w:szCs w:val="24"/>
        </w:rPr>
        <w:t>38,</w:t>
      </w:r>
      <w:r w:rsidR="003F5A6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se cerraron en el mismo periodo de presentación y </w:t>
      </w:r>
      <w:r w:rsidR="00D61661">
        <w:rPr>
          <w:rFonts w:ascii="Arial" w:hAnsi="Arial" w:cs="Arial"/>
          <w:color w:val="000000" w:themeColor="text1"/>
          <w:sz w:val="24"/>
          <w:szCs w:val="24"/>
        </w:rPr>
        <w:t>117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61661" w:rsidRPr="00D61661">
        <w:rPr>
          <w:rFonts w:ascii="Arial" w:hAnsi="Arial" w:cs="Arial"/>
          <w:color w:val="000000" w:themeColor="text1"/>
          <w:sz w:val="24"/>
          <w:szCs w:val="24"/>
        </w:rPr>
        <w:t>61,90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%) PQRSD se cerraron de forma anticipada, así la fecha de respuesta determinara que su solución debería ser en el</w:t>
      </w:r>
      <w:r w:rsidR="001B3217" w:rsidRPr="00DF7866">
        <w:rPr>
          <w:rFonts w:ascii="Arial" w:hAnsi="Arial" w:cs="Arial"/>
          <w:color w:val="000000" w:themeColor="text1"/>
          <w:sz w:val="24"/>
          <w:szCs w:val="24"/>
        </w:rPr>
        <w:t>(los)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siguiente</w:t>
      </w:r>
      <w:r w:rsidR="001B3217" w:rsidRPr="00DF7866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mes</w:t>
      </w:r>
      <w:r w:rsidR="001B3217" w:rsidRPr="00DF7866">
        <w:rPr>
          <w:rFonts w:ascii="Arial" w:hAnsi="Arial" w:cs="Arial"/>
          <w:color w:val="000000" w:themeColor="text1"/>
          <w:sz w:val="24"/>
          <w:szCs w:val="24"/>
        </w:rPr>
        <w:t>(es)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8593F" w:rsidRPr="00DF7866" w:rsidRDefault="00E8593F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En la siguiente tabla (No. </w:t>
      </w:r>
      <w:r w:rsidR="00F53BE5">
        <w:rPr>
          <w:rFonts w:ascii="Arial" w:hAnsi="Arial" w:cs="Arial"/>
          <w:color w:val="000000" w:themeColor="text1"/>
          <w:sz w:val="24"/>
          <w:szCs w:val="24"/>
        </w:rPr>
        <w:t>6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), podemos observar que la </w:t>
      </w:r>
      <w:r w:rsidR="00A9645E">
        <w:rPr>
          <w:rFonts w:ascii="Arial" w:hAnsi="Arial" w:cs="Arial"/>
          <w:color w:val="000000" w:themeColor="text1"/>
          <w:sz w:val="24"/>
          <w:szCs w:val="24"/>
        </w:rPr>
        <w:t xml:space="preserve">Dirección de Urbanizaciones y Titulación 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fue la dependencia que más PQRSD soluciono, con </w:t>
      </w:r>
      <w:r w:rsidR="00412014">
        <w:rPr>
          <w:rFonts w:ascii="Arial" w:hAnsi="Arial" w:cs="Arial"/>
          <w:color w:val="000000" w:themeColor="text1"/>
          <w:sz w:val="24"/>
          <w:szCs w:val="24"/>
        </w:rPr>
        <w:t>70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12014">
        <w:rPr>
          <w:rFonts w:ascii="Arial" w:hAnsi="Arial" w:cs="Arial"/>
          <w:color w:val="000000" w:themeColor="text1"/>
          <w:sz w:val="24"/>
          <w:szCs w:val="24"/>
        </w:rPr>
        <w:t>58,82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%); de las cuales el </w:t>
      </w:r>
      <w:r w:rsidR="00412014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 fueron solucionadas en los tiempos que determina la Ley.</w:t>
      </w:r>
    </w:p>
    <w:p w:rsidR="002435D2" w:rsidRPr="00DF7866" w:rsidRDefault="002435D2" w:rsidP="00DF786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decuadrcula4-nfasis11"/>
        <w:tblW w:w="9513" w:type="dxa"/>
        <w:tblInd w:w="108" w:type="dxa"/>
        <w:tblLook w:val="04A0" w:firstRow="1" w:lastRow="0" w:firstColumn="1" w:lastColumn="0" w:noHBand="0" w:noVBand="1"/>
      </w:tblPr>
      <w:tblGrid>
        <w:gridCol w:w="4536"/>
        <w:gridCol w:w="1701"/>
        <w:gridCol w:w="1683"/>
        <w:gridCol w:w="1593"/>
      </w:tblGrid>
      <w:tr w:rsidR="00FE4207" w:rsidRPr="004D45C3" w:rsidTr="00FE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FE4207" w:rsidRPr="00E564EA" w:rsidRDefault="00FE4207" w:rsidP="00214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757B76">
              <w:rPr>
                <w:rFonts w:ascii="Arial" w:hAnsi="Arial" w:cs="Arial"/>
                <w:sz w:val="20"/>
                <w:szCs w:val="20"/>
                <w:lang w:val="es-ES"/>
              </w:rPr>
              <w:t xml:space="preserve">TABLA No.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Pr="00757B76">
              <w:rPr>
                <w:rFonts w:ascii="Arial" w:hAnsi="Arial" w:cs="Arial"/>
                <w:sz w:val="20"/>
                <w:szCs w:val="20"/>
                <w:lang w:val="es-ES"/>
              </w:rPr>
              <w:t xml:space="preserve"> – PQRSD CERRADAS PRESENTADAS EN EL PERÍODO ACTUAL</w:t>
            </w:r>
          </w:p>
        </w:tc>
      </w:tr>
      <w:tr w:rsidR="00FE4207" w:rsidRPr="004D45C3" w:rsidTr="00214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FE4207" w:rsidRPr="004D45C3" w:rsidRDefault="00FE4207" w:rsidP="00214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FE4207" w:rsidRPr="004D45C3" w:rsidRDefault="00FE4207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  <w:r>
              <w:rPr>
                <w:rStyle w:val="Refdenotaalpie"/>
                <w:rFonts w:cs="Arial"/>
                <w:sz w:val="20"/>
                <w:szCs w:val="20"/>
                <w:lang w:val="es-ES" w:eastAsia="es-CO"/>
              </w:rPr>
              <w:footnoteReference w:id="1"/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FE4207" w:rsidRPr="004D45C3" w:rsidRDefault="00FE4207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CERRADAS EN EL PERIODO ACTUAL (2)</w:t>
            </w:r>
            <w:r>
              <w:rPr>
                <w:rStyle w:val="Refdenotaalpie"/>
                <w:rFonts w:cs="Arial"/>
                <w:sz w:val="20"/>
                <w:szCs w:val="20"/>
                <w:lang w:eastAsia="es-CO"/>
              </w:rPr>
              <w:footnoteReference w:id="2"/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FE4207" w:rsidRPr="00E564EA" w:rsidRDefault="00FE4207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:rsidR="00FE4207" w:rsidRPr="004D45C3" w:rsidRDefault="00FE4207" w:rsidP="00214E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4E7B20" w:rsidRPr="004D45C3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</w:t>
            </w: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irección de Urbanizaciones y Titulación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58,82</w:t>
            </w:r>
          </w:p>
        </w:tc>
      </w:tr>
      <w:tr w:rsidR="004E7B20" w:rsidRPr="004D45C3" w:rsidTr="00214E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4E7B20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47,74</w:t>
            </w:r>
          </w:p>
        </w:tc>
      </w:tr>
      <w:tr w:rsidR="004E7B20" w:rsidRPr="004D45C3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61,81</w:t>
            </w:r>
          </w:p>
        </w:tc>
      </w:tr>
      <w:tr w:rsidR="004E7B20" w:rsidRPr="004D45C3" w:rsidTr="00214E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4E7B20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70,83</w:t>
            </w:r>
          </w:p>
        </w:tc>
      </w:tr>
      <w:tr w:rsidR="004E7B20" w:rsidRPr="004D45C3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33,33</w:t>
            </w:r>
          </w:p>
        </w:tc>
      </w:tr>
      <w:tr w:rsidR="004E7B20" w:rsidRPr="004D45C3" w:rsidTr="00214E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E030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</w:t>
            </w:r>
          </w:p>
        </w:tc>
      </w:tr>
      <w:tr w:rsidR="004E7B20" w:rsidRPr="004D45C3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57,14</w:t>
            </w:r>
          </w:p>
        </w:tc>
      </w:tr>
      <w:tr w:rsidR="004E7B20" w:rsidRPr="004D45C3" w:rsidTr="00214E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4E7B20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E7B2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Dirección de Gestión Corporativa y CID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4E7B20" w:rsidRDefault="004E7B20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E7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  <w:tr w:rsidR="004E7B20" w:rsidRPr="004E7B20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4E7B20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E7B2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ó</w:t>
            </w:r>
            <w:r w:rsidRPr="004E7B2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n General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4E7B20" w:rsidRDefault="004E7B20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4E7B20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4E7B20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33,33</w:t>
            </w:r>
          </w:p>
        </w:tc>
      </w:tr>
      <w:tr w:rsidR="004E7B20" w:rsidRPr="004D45C3" w:rsidTr="00214E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Default="004E7B20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50,00</w:t>
            </w:r>
          </w:p>
        </w:tc>
      </w:tr>
      <w:tr w:rsidR="004E7B20" w:rsidRPr="004D45C3" w:rsidTr="00214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4E7B20" w:rsidRPr="008435C4" w:rsidRDefault="004E7B20" w:rsidP="004E7B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01" w:type="dxa"/>
            <w:noWrap/>
            <w:vAlign w:val="center"/>
          </w:tcPr>
          <w:p w:rsidR="004E7B20" w:rsidRPr="008435C4" w:rsidRDefault="00EA5E16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683" w:type="dxa"/>
            <w:noWrap/>
            <w:vAlign w:val="center"/>
          </w:tcPr>
          <w:p w:rsidR="004E7B20" w:rsidRPr="008435C4" w:rsidRDefault="00F126E2" w:rsidP="004E7B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1593" w:type="dxa"/>
            <w:noWrap/>
            <w:vAlign w:val="center"/>
          </w:tcPr>
          <w:p w:rsidR="004E7B20" w:rsidRPr="0034008B" w:rsidRDefault="00C07B19" w:rsidP="000A06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53,24</w:t>
            </w:r>
          </w:p>
        </w:tc>
      </w:tr>
    </w:tbl>
    <w:p w:rsidR="001B3217" w:rsidRPr="00757B76" w:rsidRDefault="001B3217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B76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757B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757B76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1B3217" w:rsidRDefault="001B3217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1E6" w:rsidRPr="00DF7866" w:rsidRDefault="006C71E6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1ED" w:rsidRPr="00DF7866" w:rsidRDefault="00757B76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18" w:name="_Toc856323"/>
      <w:r w:rsidRPr="00DF7866">
        <w:rPr>
          <w:rFonts w:cs="Arial"/>
          <w:szCs w:val="24"/>
        </w:rPr>
        <w:t>PQRSD Cerradas Presentadas en los Periodo(</w:t>
      </w:r>
      <w:r>
        <w:rPr>
          <w:rFonts w:cs="Arial"/>
          <w:szCs w:val="24"/>
        </w:rPr>
        <w:t>s</w:t>
      </w:r>
      <w:r w:rsidRPr="00DF7866">
        <w:rPr>
          <w:rFonts w:cs="Arial"/>
          <w:szCs w:val="24"/>
        </w:rPr>
        <w:t>) Anterior(</w:t>
      </w:r>
      <w:r>
        <w:rPr>
          <w:rFonts w:cs="Arial"/>
          <w:szCs w:val="24"/>
        </w:rPr>
        <w:t>e</w:t>
      </w:r>
      <w:r w:rsidRPr="00DF7866">
        <w:rPr>
          <w:rFonts w:cs="Arial"/>
          <w:szCs w:val="24"/>
        </w:rPr>
        <w:t>s)</w:t>
      </w:r>
      <w:bookmarkEnd w:id="18"/>
      <w:r w:rsidRPr="00DF7866">
        <w:rPr>
          <w:rFonts w:cs="Arial"/>
          <w:szCs w:val="24"/>
        </w:rPr>
        <w:t xml:space="preserve"> </w:t>
      </w:r>
    </w:p>
    <w:p w:rsidR="00F101ED" w:rsidRPr="00DF7866" w:rsidRDefault="00F101ED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F101ED" w:rsidRPr="00DF7866" w:rsidRDefault="00F101ED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866">
        <w:rPr>
          <w:rFonts w:ascii="Arial" w:hAnsi="Arial" w:cs="Arial"/>
          <w:color w:val="000000" w:themeColor="text1"/>
          <w:sz w:val="24"/>
          <w:szCs w:val="24"/>
        </w:rPr>
        <w:t>De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 xml:space="preserve"> el(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los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periodo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>(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s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>(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es</w:t>
      </w:r>
      <w:r w:rsidR="005A0FE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26011">
        <w:rPr>
          <w:rFonts w:ascii="Arial" w:hAnsi="Arial" w:cs="Arial"/>
          <w:color w:val="000000" w:themeColor="text1"/>
          <w:sz w:val="24"/>
          <w:szCs w:val="24"/>
        </w:rPr>
        <w:t>diciembre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), se tienen </w:t>
      </w:r>
      <w:r w:rsidR="00602480">
        <w:rPr>
          <w:rFonts w:ascii="Arial" w:hAnsi="Arial" w:cs="Arial"/>
          <w:color w:val="000000" w:themeColor="text1"/>
          <w:sz w:val="24"/>
          <w:szCs w:val="24"/>
        </w:rPr>
        <w:t>75</w:t>
      </w:r>
      <w:r w:rsidR="00A278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(</w:t>
      </w:r>
      <w:r w:rsidR="00A27826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PQRSD que debe ser solucionadas en </w:t>
      </w:r>
      <w:r w:rsidR="00A27826">
        <w:rPr>
          <w:rFonts w:ascii="Arial" w:hAnsi="Arial" w:cs="Arial"/>
          <w:color w:val="000000" w:themeColor="text1"/>
          <w:sz w:val="24"/>
          <w:szCs w:val="24"/>
        </w:rPr>
        <w:t>enero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. De estas, </w:t>
      </w:r>
      <w:r w:rsidR="007C5C79">
        <w:rPr>
          <w:rFonts w:ascii="Arial" w:hAnsi="Arial" w:cs="Arial"/>
          <w:color w:val="000000" w:themeColor="text1"/>
          <w:sz w:val="24"/>
          <w:szCs w:val="24"/>
        </w:rPr>
        <w:t>67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C5C79">
        <w:rPr>
          <w:rFonts w:ascii="Arial" w:hAnsi="Arial" w:cs="Arial"/>
          <w:color w:val="000000" w:themeColor="text1"/>
          <w:sz w:val="24"/>
          <w:szCs w:val="24"/>
        </w:rPr>
        <w:t>89,33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%) se solucionaron de manera oportuna y tan solo </w:t>
      </w:r>
      <w:r w:rsidR="007C5C79">
        <w:rPr>
          <w:rFonts w:ascii="Arial" w:hAnsi="Arial" w:cs="Arial"/>
          <w:color w:val="000000" w:themeColor="text1"/>
          <w:sz w:val="24"/>
          <w:szCs w:val="24"/>
        </w:rPr>
        <w:t>8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C5C79">
        <w:rPr>
          <w:rFonts w:ascii="Arial" w:hAnsi="Arial" w:cs="Arial"/>
          <w:color w:val="000000" w:themeColor="text1"/>
          <w:sz w:val="24"/>
          <w:szCs w:val="24"/>
        </w:rPr>
        <w:t>10,67</w:t>
      </w:r>
      <w:r w:rsidRPr="00DF7866">
        <w:rPr>
          <w:rFonts w:ascii="Arial" w:hAnsi="Arial" w:cs="Arial"/>
          <w:color w:val="000000" w:themeColor="text1"/>
          <w:sz w:val="24"/>
          <w:szCs w:val="24"/>
        </w:rPr>
        <w:t>%) se resolvieron por fuera de los términos que establecer la Ley.</w:t>
      </w:r>
    </w:p>
    <w:p w:rsidR="003F19E9" w:rsidRPr="00DF7866" w:rsidRDefault="003F19E9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decuadrcula4-nfasis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35"/>
        <w:gridCol w:w="1701"/>
      </w:tblGrid>
      <w:tr w:rsidR="00957CC7" w:rsidRPr="00E81ED3" w:rsidTr="00F2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957CC7" w:rsidRPr="00E81ED3" w:rsidRDefault="00957CC7" w:rsidP="00DF7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E81ED3">
              <w:rPr>
                <w:rFonts w:ascii="Arial" w:hAnsi="Arial" w:cs="Arial"/>
                <w:sz w:val="20"/>
                <w:szCs w:val="20"/>
              </w:rPr>
              <w:t xml:space="preserve">TABLA No. </w:t>
            </w:r>
            <w:r w:rsidR="005A0FEC">
              <w:rPr>
                <w:rFonts w:ascii="Arial" w:hAnsi="Arial" w:cs="Arial"/>
                <w:sz w:val="20"/>
                <w:szCs w:val="20"/>
              </w:rPr>
              <w:t>7</w:t>
            </w:r>
            <w:r w:rsidRPr="00E81ED3">
              <w:rPr>
                <w:rFonts w:ascii="Arial" w:hAnsi="Arial" w:cs="Arial"/>
                <w:sz w:val="20"/>
                <w:szCs w:val="20"/>
              </w:rPr>
              <w:t xml:space="preserve"> - PQRSD CERRADAS PRESENTADAS EN LOS PERIODO(S) ANTERIOR</w:t>
            </w:r>
          </w:p>
        </w:tc>
      </w:tr>
      <w:tr w:rsidR="00957CC7" w:rsidRPr="00E81ED3" w:rsidTr="00F2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957CC7" w:rsidRPr="00E81ED3" w:rsidRDefault="00957CC7" w:rsidP="00DF7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81ED3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957CC7" w:rsidRPr="00E81ED3" w:rsidRDefault="00957CC7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81ED3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PENDIENTES PERIODOS ANTERIORES 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957CC7" w:rsidRPr="00E81ED3" w:rsidRDefault="00957CC7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81ED3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CERRADOS DE PERIODOS ANTERIORES 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957CC7" w:rsidRPr="00E81ED3" w:rsidRDefault="00957CC7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81ED3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TOTAL REQ. CERRADO POR DEPENDENCIA / TOTAL GENERAL</w:t>
            </w:r>
          </w:p>
        </w:tc>
      </w:tr>
      <w:tr w:rsidR="005A0FEC" w:rsidRPr="00E81ED3" w:rsidTr="00F2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Default="005A0FEC" w:rsidP="005A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</w:t>
            </w: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irección de 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A0FEC" w:rsidRPr="00E81ED3" w:rsidTr="00F265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Pr="008435C4" w:rsidRDefault="005A0FEC" w:rsidP="005A0FE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A0FEC" w:rsidRPr="00E81ED3" w:rsidTr="00F2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Default="005A0FEC" w:rsidP="005A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A0FEC" w:rsidRPr="00E81ED3" w:rsidTr="00F265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Pr="008435C4" w:rsidRDefault="005A0FEC" w:rsidP="005A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A0FEC" w:rsidRPr="00E81ED3" w:rsidTr="00F2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Default="005A0FEC" w:rsidP="005A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A0FEC" w:rsidRPr="00E81ED3" w:rsidTr="00F265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A0FEC" w:rsidRPr="00E81ED3" w:rsidRDefault="005A0FEC" w:rsidP="005A0FEC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030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0D26FB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A0FEC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A0FEC" w:rsidRPr="00E81ED3" w:rsidRDefault="00584C29" w:rsidP="005A0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84C29" w:rsidRPr="00E81ED3" w:rsidTr="00F2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84C29" w:rsidRPr="004E7B20" w:rsidRDefault="00584C29" w:rsidP="00584C2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E7B2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84C29" w:rsidRPr="00E81ED3" w:rsidTr="00F265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:rsidR="00584C29" w:rsidRPr="00E81ED3" w:rsidRDefault="00584C29" w:rsidP="00584C29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584C29" w:rsidRPr="00E81ED3" w:rsidRDefault="00584C29" w:rsidP="0058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584C29" w:rsidRPr="00E81ED3" w:rsidTr="00F2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584C29" w:rsidRPr="00E81ED3" w:rsidRDefault="00584C29" w:rsidP="00584C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:rsidR="00584C29" w:rsidRPr="00584C29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4C29"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35" w:type="dxa"/>
            <w:noWrap/>
            <w:vAlign w:val="center"/>
          </w:tcPr>
          <w:p w:rsidR="00584C29" w:rsidRPr="00584C29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84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:rsidR="00584C29" w:rsidRPr="00584C29" w:rsidRDefault="00584C29" w:rsidP="0058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4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:rsidR="00957CC7" w:rsidRDefault="00957CC7" w:rsidP="00DF786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1ED3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E81E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E81ED3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F34C9F" w:rsidRPr="00DF7866" w:rsidRDefault="00E81ED3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19" w:name="_Toc856324"/>
      <w:r w:rsidRPr="00DF7866">
        <w:rPr>
          <w:rFonts w:cs="Arial"/>
          <w:szCs w:val="24"/>
        </w:rPr>
        <w:lastRenderedPageBreak/>
        <w:t>Calculo del Tiempo Promedio de Respuesta por Tipología y Dependencia a las PQRSD</w:t>
      </w:r>
      <w:bookmarkEnd w:id="19"/>
    </w:p>
    <w:p w:rsidR="00957CC7" w:rsidRPr="00DF7866" w:rsidRDefault="00957CC7" w:rsidP="00DF7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08C" w:rsidRPr="00DF7866" w:rsidRDefault="0009208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Para el mes de </w:t>
      </w:r>
      <w:r w:rsidR="00533E16">
        <w:rPr>
          <w:rFonts w:ascii="Arial" w:hAnsi="Arial" w:cs="Arial"/>
          <w:sz w:val="24"/>
          <w:szCs w:val="24"/>
          <w:lang w:val="es-ES"/>
        </w:rPr>
        <w:t xml:space="preserve">enero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del </w:t>
      </w:r>
      <w:r w:rsidR="00533E16">
        <w:rPr>
          <w:rFonts w:ascii="Arial" w:hAnsi="Arial" w:cs="Arial"/>
          <w:sz w:val="24"/>
          <w:szCs w:val="24"/>
          <w:lang w:val="es-ES"/>
        </w:rPr>
        <w:t>2019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el promedio de días para dar respuestas a las PQRSD interpuestas ante la Caja de la Vivienda Popular fue de </w:t>
      </w:r>
      <w:r w:rsidR="000550CF">
        <w:rPr>
          <w:rFonts w:ascii="Arial" w:hAnsi="Arial" w:cs="Arial"/>
          <w:sz w:val="24"/>
          <w:szCs w:val="24"/>
          <w:lang w:val="es-ES"/>
        </w:rPr>
        <w:t>6,57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hábiles, siendo este valor </w:t>
      </w:r>
      <w:r w:rsidR="000550CF">
        <w:rPr>
          <w:rFonts w:ascii="Arial" w:hAnsi="Arial" w:cs="Arial"/>
          <w:sz w:val="24"/>
          <w:szCs w:val="24"/>
          <w:lang w:val="es-ES"/>
        </w:rPr>
        <w:t>inferior a</w:t>
      </w:r>
      <w:r w:rsidRPr="00DF7866">
        <w:rPr>
          <w:rFonts w:ascii="Arial" w:hAnsi="Arial" w:cs="Arial"/>
          <w:sz w:val="24"/>
          <w:szCs w:val="24"/>
          <w:lang w:val="es-ES"/>
        </w:rPr>
        <w:t>l del mes inmediatamente anterior (</w:t>
      </w:r>
      <w:r w:rsidR="000550CF">
        <w:rPr>
          <w:rFonts w:ascii="Arial" w:hAnsi="Arial" w:cs="Arial"/>
          <w:sz w:val="24"/>
          <w:szCs w:val="24"/>
          <w:lang w:val="es-ES"/>
        </w:rPr>
        <w:t>diciembre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), el cual se ubicó </w:t>
      </w:r>
      <w:r w:rsidR="007F3BA4">
        <w:rPr>
          <w:rFonts w:ascii="Arial" w:hAnsi="Arial" w:cs="Arial"/>
          <w:sz w:val="24"/>
          <w:szCs w:val="24"/>
          <w:lang w:val="es-ES"/>
        </w:rPr>
        <w:t>8,94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 promedio.</w:t>
      </w:r>
    </w:p>
    <w:p w:rsidR="0009208C" w:rsidRPr="00DF7866" w:rsidRDefault="0009208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9208C" w:rsidRPr="00DF7866" w:rsidRDefault="0009208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Podemos determinar que la entidad genero un ahorro del </w:t>
      </w:r>
      <w:r w:rsidR="00165E10">
        <w:rPr>
          <w:rFonts w:ascii="Arial" w:hAnsi="Arial" w:cs="Arial"/>
          <w:sz w:val="24"/>
          <w:szCs w:val="24"/>
          <w:lang w:val="es-ES"/>
        </w:rPr>
        <w:t>58,17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 en la gestión de las </w:t>
      </w:r>
      <w:r w:rsidR="00165E10">
        <w:rPr>
          <w:rFonts w:ascii="Arial" w:hAnsi="Arial" w:cs="Arial"/>
          <w:sz w:val="24"/>
          <w:szCs w:val="24"/>
          <w:lang w:val="es-ES"/>
        </w:rPr>
        <w:t>264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PQRSD para el mes de </w:t>
      </w:r>
      <w:r w:rsidR="00165E10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; lo que representa </w:t>
      </w:r>
      <w:r w:rsidR="00165E10">
        <w:rPr>
          <w:rFonts w:ascii="Arial" w:hAnsi="Arial" w:cs="Arial"/>
          <w:sz w:val="24"/>
          <w:szCs w:val="24"/>
          <w:lang w:val="es-ES"/>
        </w:rPr>
        <w:t>9,14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 promedio de ahorro, frente al límite promedio máximo de </w:t>
      </w:r>
      <w:r w:rsidR="00165E10">
        <w:rPr>
          <w:rFonts w:ascii="Arial" w:hAnsi="Arial" w:cs="Arial"/>
          <w:sz w:val="24"/>
          <w:szCs w:val="24"/>
          <w:lang w:val="es-ES"/>
        </w:rPr>
        <w:t>15,71</w:t>
      </w:r>
      <w:r w:rsidR="00A04F92">
        <w:rPr>
          <w:rFonts w:ascii="Arial" w:hAnsi="Arial" w:cs="Arial"/>
          <w:sz w:val="24"/>
          <w:szCs w:val="24"/>
          <w:lang w:val="es-ES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t>días hábiles.</w:t>
      </w:r>
    </w:p>
    <w:p w:rsidR="00F9111B" w:rsidRDefault="00F9111B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GridTable4Accent1"/>
        <w:tblW w:w="9378" w:type="dxa"/>
        <w:tblLook w:val="04A0" w:firstRow="1" w:lastRow="0" w:firstColumn="1" w:lastColumn="0" w:noHBand="0" w:noVBand="1"/>
      </w:tblPr>
      <w:tblGrid>
        <w:gridCol w:w="3108"/>
        <w:gridCol w:w="735"/>
        <w:gridCol w:w="852"/>
        <w:gridCol w:w="850"/>
        <w:gridCol w:w="717"/>
        <w:gridCol w:w="705"/>
        <w:gridCol w:w="993"/>
        <w:gridCol w:w="708"/>
        <w:gridCol w:w="710"/>
      </w:tblGrid>
      <w:tr w:rsidR="006E014C" w:rsidRPr="006E014C" w:rsidTr="00F9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8" w:type="dxa"/>
            <w:gridSpan w:val="9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:rsidR="00214E9A" w:rsidRPr="00F600AD" w:rsidRDefault="00214E9A" w:rsidP="006E0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00A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TABLA No. </w:t>
            </w:r>
            <w:r w:rsidR="00DE584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  <w:r w:rsidRPr="00F600A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- TIEMPO PROMEDIO DE RESPUESTA A PQRSD EN DIAS HABILES</w:t>
            </w:r>
          </w:p>
        </w:tc>
      </w:tr>
      <w:tr w:rsidR="006E014C" w:rsidRPr="006E014C" w:rsidTr="006C4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Merge w:val="restar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5560" w:type="dxa"/>
            <w:gridSpan w:val="7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600AD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600A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710" w:type="dxa"/>
            <w:vMerge w:val="restar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F600AD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600A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PROMEDIO X DEPENDENCIA</w:t>
            </w:r>
          </w:p>
        </w:tc>
      </w:tr>
      <w:tr w:rsidR="006E014C" w:rsidRPr="006E014C" w:rsidTr="006C4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Merge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7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FA6643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CONSULTA</w:t>
            </w:r>
          </w:p>
          <w:p w:rsidR="00214E9A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(30 días hábiles)</w:t>
            </w:r>
          </w:p>
        </w:tc>
        <w:tc>
          <w:tcPr>
            <w:tcW w:w="85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DERECHO DE PETICION DE INTERES GENERAL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15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85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DERECHO DE PETICION DE INTERES PARTICULAR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15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7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FA6643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QUEJA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15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70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RECLAMO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15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99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SOLICITUD DE ACCESO A LA INFORMACION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10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708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214E9A" w:rsidRPr="000975A0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SOLICITUD DE COPIA</w:t>
            </w:r>
          </w:p>
          <w:p w:rsidR="00FA6643" w:rsidRPr="000975A0" w:rsidRDefault="00FA6643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(</w:t>
            </w:r>
            <w:r w:rsidR="00B05A57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10</w:t>
            </w:r>
            <w:r w:rsidRPr="000975A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 xml:space="preserve"> días hábiles)</w:t>
            </w:r>
          </w:p>
        </w:tc>
        <w:tc>
          <w:tcPr>
            <w:tcW w:w="710" w:type="dxa"/>
            <w:vMerge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  <w:vAlign w:val="center"/>
            <w:hideMark/>
          </w:tcPr>
          <w:p w:rsidR="00214E9A" w:rsidRPr="006E014C" w:rsidRDefault="00214E9A" w:rsidP="006E01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A6643" w:rsidRPr="00FA6643" w:rsidTr="00EA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735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0,67</w:t>
            </w:r>
          </w:p>
        </w:tc>
        <w:tc>
          <w:tcPr>
            <w:tcW w:w="85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1,25</w:t>
            </w:r>
          </w:p>
        </w:tc>
        <w:tc>
          <w:tcPr>
            <w:tcW w:w="717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708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7,31</w:t>
            </w:r>
          </w:p>
        </w:tc>
      </w:tr>
      <w:tr w:rsidR="00FA6643" w:rsidRPr="00FA6643" w:rsidTr="00EA3F0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5,00</w:t>
            </w:r>
          </w:p>
        </w:tc>
      </w:tr>
      <w:tr w:rsidR="00FA6643" w:rsidRPr="00FA6643" w:rsidTr="00EA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7,80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8,45</w:t>
            </w:r>
          </w:p>
        </w:tc>
      </w:tr>
      <w:tr w:rsidR="00FA6643" w:rsidRPr="00FA6643" w:rsidTr="00EA3F0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8,33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19,00</w:t>
            </w: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9,78</w:t>
            </w:r>
          </w:p>
        </w:tc>
      </w:tr>
      <w:tr w:rsidR="00FA6643" w:rsidRPr="00FA6643" w:rsidTr="00EA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9,75</w:t>
            </w: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9,41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7,50</w:t>
            </w: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8,33</w:t>
            </w:r>
          </w:p>
        </w:tc>
      </w:tr>
      <w:tr w:rsidR="00FA6643" w:rsidRPr="00FA6643" w:rsidTr="00EA3F0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5,38</w:t>
            </w: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5,70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5,33</w:t>
            </w: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3,62</w:t>
            </w: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4,34</w:t>
            </w:r>
          </w:p>
        </w:tc>
      </w:tr>
      <w:tr w:rsidR="00FA6643" w:rsidRPr="00FA6643" w:rsidTr="00EA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4,50</w:t>
            </w:r>
          </w:p>
        </w:tc>
      </w:tr>
      <w:tr w:rsidR="00FA6643" w:rsidRPr="00FA6643" w:rsidTr="00EA3F0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5,24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1,50</w:t>
            </w: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3,37</w:t>
            </w:r>
          </w:p>
        </w:tc>
      </w:tr>
      <w:tr w:rsidR="00FA6643" w:rsidRPr="00FA6643" w:rsidTr="00EA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0,00</w:t>
            </w:r>
          </w:p>
        </w:tc>
      </w:tr>
      <w:tr w:rsidR="00FA6643" w:rsidRPr="00FA6643" w:rsidTr="00EA3F0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9111B" w:rsidRDefault="00214E9A" w:rsidP="00F9111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11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Dirección jurídica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4,00</w:t>
            </w:r>
          </w:p>
        </w:tc>
      </w:tr>
      <w:tr w:rsidR="00FA6643" w:rsidRPr="00FA6643" w:rsidTr="00CA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vAlign w:val="center"/>
            <w:hideMark/>
          </w:tcPr>
          <w:p w:rsidR="00214E9A" w:rsidRPr="00FA6643" w:rsidRDefault="00214E9A" w:rsidP="00CA0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5,56</w:t>
            </w:r>
          </w:p>
        </w:tc>
        <w:tc>
          <w:tcPr>
            <w:tcW w:w="852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9,53</w:t>
            </w:r>
          </w:p>
        </w:tc>
        <w:tc>
          <w:tcPr>
            <w:tcW w:w="85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5,59</w:t>
            </w:r>
          </w:p>
        </w:tc>
        <w:tc>
          <w:tcPr>
            <w:tcW w:w="717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11,67</w:t>
            </w:r>
          </w:p>
        </w:tc>
        <w:tc>
          <w:tcPr>
            <w:tcW w:w="705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4,50</w:t>
            </w:r>
          </w:p>
        </w:tc>
        <w:tc>
          <w:tcPr>
            <w:tcW w:w="993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5,21</w:t>
            </w:r>
          </w:p>
        </w:tc>
        <w:tc>
          <w:tcPr>
            <w:tcW w:w="708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4,37</w:t>
            </w:r>
          </w:p>
        </w:tc>
        <w:tc>
          <w:tcPr>
            <w:tcW w:w="710" w:type="dxa"/>
            <w:noWrap/>
            <w:vAlign w:val="center"/>
            <w:hideMark/>
          </w:tcPr>
          <w:p w:rsidR="00214E9A" w:rsidRPr="00FA6643" w:rsidRDefault="00214E9A" w:rsidP="00F911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A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6,57</w:t>
            </w:r>
          </w:p>
        </w:tc>
      </w:tr>
    </w:tbl>
    <w:p w:rsidR="00B50619" w:rsidRDefault="00B50619" w:rsidP="00B5061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1ED3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E81E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E81ED3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B430CB" w:rsidRPr="00DF7866" w:rsidRDefault="00B430CB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B430CB" w:rsidRPr="00DF7866" w:rsidRDefault="00B430CB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En donde la</w:t>
      </w:r>
      <w:r w:rsidR="00E53772" w:rsidRPr="00E53772">
        <w:rPr>
          <w:rFonts w:ascii="Arial" w:hAnsi="Arial" w:cs="Arial"/>
          <w:sz w:val="24"/>
          <w:szCs w:val="24"/>
          <w:lang w:val="es-ES"/>
        </w:rPr>
        <w:t xml:space="preserve"> </w:t>
      </w:r>
      <w:r w:rsidR="00E53772">
        <w:rPr>
          <w:rFonts w:ascii="Arial" w:eastAsia="Times New Roman" w:hAnsi="Arial" w:cs="Arial"/>
          <w:sz w:val="24"/>
          <w:szCs w:val="24"/>
          <w:lang w:eastAsia="es-CO"/>
        </w:rPr>
        <w:t>D</w:t>
      </w:r>
      <w:r w:rsidR="00E53772" w:rsidRPr="00E53772">
        <w:rPr>
          <w:rFonts w:ascii="Arial" w:eastAsia="Times New Roman" w:hAnsi="Arial" w:cs="Arial"/>
          <w:sz w:val="24"/>
          <w:szCs w:val="24"/>
          <w:lang w:eastAsia="es-CO"/>
        </w:rPr>
        <w:t xml:space="preserve">irección de </w:t>
      </w:r>
      <w:r w:rsidR="00E53772">
        <w:rPr>
          <w:rFonts w:ascii="Arial" w:eastAsia="Times New Roman" w:hAnsi="Arial" w:cs="Arial"/>
          <w:sz w:val="24"/>
          <w:szCs w:val="24"/>
          <w:lang w:eastAsia="es-CO"/>
        </w:rPr>
        <w:t>U</w:t>
      </w:r>
      <w:r w:rsidR="00E53772" w:rsidRPr="00E53772">
        <w:rPr>
          <w:rFonts w:ascii="Arial" w:eastAsia="Times New Roman" w:hAnsi="Arial" w:cs="Arial"/>
          <w:sz w:val="24"/>
          <w:szCs w:val="24"/>
          <w:lang w:eastAsia="es-CO"/>
        </w:rPr>
        <w:t xml:space="preserve">rbanizaciones y </w:t>
      </w:r>
      <w:r w:rsidR="00E53772">
        <w:rPr>
          <w:rFonts w:ascii="Arial" w:eastAsia="Times New Roman" w:hAnsi="Arial" w:cs="Arial"/>
          <w:sz w:val="24"/>
          <w:szCs w:val="24"/>
          <w:lang w:eastAsia="es-CO"/>
        </w:rPr>
        <w:t>T</w:t>
      </w:r>
      <w:r w:rsidR="00E53772" w:rsidRPr="00E53772">
        <w:rPr>
          <w:rFonts w:ascii="Arial" w:eastAsia="Times New Roman" w:hAnsi="Arial" w:cs="Arial"/>
          <w:sz w:val="24"/>
          <w:szCs w:val="24"/>
          <w:lang w:eastAsia="es-CO"/>
        </w:rPr>
        <w:t>itulación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fue de mejor desempeño en la emisión de sus respuestas que en promedio fue de </w:t>
      </w:r>
      <w:r w:rsidR="00772C02">
        <w:rPr>
          <w:rFonts w:ascii="Arial" w:hAnsi="Arial" w:cs="Arial"/>
          <w:sz w:val="24"/>
          <w:szCs w:val="24"/>
          <w:lang w:val="es-ES"/>
        </w:rPr>
        <w:t xml:space="preserve">4,34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días hábiles, de los </w:t>
      </w:r>
      <w:r w:rsidR="00607526">
        <w:rPr>
          <w:rFonts w:ascii="Arial" w:hAnsi="Arial" w:cs="Arial"/>
          <w:sz w:val="24"/>
          <w:szCs w:val="24"/>
          <w:lang w:val="es-ES"/>
        </w:rPr>
        <w:t>15,83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 máximos que poseía.</w:t>
      </w:r>
    </w:p>
    <w:p w:rsidR="00B430CB" w:rsidRPr="00DF7866" w:rsidRDefault="00B430CB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30CB" w:rsidRPr="00F81692" w:rsidRDefault="00B430CB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Para este mes se atendieron </w:t>
      </w:r>
      <w:r w:rsidR="004F1698">
        <w:rPr>
          <w:rFonts w:ascii="Arial" w:hAnsi="Arial" w:cs="Arial"/>
          <w:sz w:val="24"/>
          <w:szCs w:val="24"/>
          <w:lang w:val="es-ES"/>
        </w:rPr>
        <w:t>264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tipologías de PQRSD; de las cuales, la “</w:t>
      </w:r>
      <w:r w:rsidR="00D06C03">
        <w:rPr>
          <w:rFonts w:ascii="Arial" w:hAnsi="Arial" w:cs="Arial"/>
          <w:sz w:val="24"/>
          <w:szCs w:val="24"/>
          <w:lang w:val="es-ES"/>
        </w:rPr>
        <w:t>Consulta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” fue la que alcanzo un mayor ahorro en días para sus respuestas; con una eficiencia del </w:t>
      </w:r>
      <w:r w:rsidR="00D06C03">
        <w:rPr>
          <w:rFonts w:ascii="Arial" w:hAnsi="Arial" w:cs="Arial"/>
          <w:sz w:val="24"/>
          <w:szCs w:val="24"/>
          <w:lang w:val="es-ES"/>
        </w:rPr>
        <w:t>81,48</w:t>
      </w:r>
      <w:r w:rsidRPr="00DF7866">
        <w:rPr>
          <w:rFonts w:ascii="Arial" w:hAnsi="Arial" w:cs="Arial"/>
          <w:sz w:val="24"/>
          <w:szCs w:val="24"/>
          <w:lang w:val="es-ES"/>
        </w:rPr>
        <w:t>% (</w:t>
      </w:r>
      <w:r w:rsidR="00D06C03">
        <w:rPr>
          <w:rFonts w:ascii="Arial" w:hAnsi="Arial" w:cs="Arial"/>
          <w:sz w:val="24"/>
          <w:szCs w:val="24"/>
          <w:lang w:val="es-ES"/>
        </w:rPr>
        <w:t xml:space="preserve">24,44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días hábiles), frente al límite de </w:t>
      </w:r>
      <w:r w:rsidR="00D06C03">
        <w:rPr>
          <w:rFonts w:ascii="Arial" w:hAnsi="Arial" w:cs="Arial"/>
          <w:sz w:val="24"/>
          <w:szCs w:val="24"/>
          <w:lang w:val="es-ES"/>
        </w:rPr>
        <w:t>30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 que tenían. Caso contrario fue la tipología </w:t>
      </w:r>
      <w:r w:rsidRPr="00DF7866">
        <w:rPr>
          <w:rFonts w:ascii="Arial" w:hAnsi="Arial" w:cs="Arial"/>
          <w:sz w:val="24"/>
          <w:szCs w:val="24"/>
        </w:rPr>
        <w:t>“</w:t>
      </w:r>
      <w:r w:rsidR="00F81692">
        <w:rPr>
          <w:rFonts w:ascii="Arial" w:hAnsi="Arial" w:cs="Arial"/>
          <w:sz w:val="24"/>
          <w:szCs w:val="24"/>
        </w:rPr>
        <w:t>Queja</w:t>
      </w:r>
      <w:r w:rsidRPr="00DF7866">
        <w:rPr>
          <w:rFonts w:ascii="Arial" w:hAnsi="Arial" w:cs="Arial"/>
          <w:sz w:val="24"/>
          <w:szCs w:val="24"/>
        </w:rPr>
        <w:t xml:space="preserve">” ya que se dio respuesta utilizando el </w:t>
      </w:r>
      <w:r w:rsidR="00F81692">
        <w:rPr>
          <w:rFonts w:ascii="Arial" w:hAnsi="Arial" w:cs="Arial"/>
          <w:sz w:val="24"/>
          <w:szCs w:val="24"/>
        </w:rPr>
        <w:t>77,78</w:t>
      </w:r>
      <w:r w:rsidRPr="00DF7866">
        <w:rPr>
          <w:rFonts w:ascii="Arial" w:hAnsi="Arial" w:cs="Arial"/>
          <w:sz w:val="24"/>
          <w:szCs w:val="24"/>
        </w:rPr>
        <w:t xml:space="preserve">% del tiempo límite en promedio, lo que significa un </w:t>
      </w:r>
      <w:r w:rsidR="00F81692">
        <w:rPr>
          <w:rFonts w:ascii="Arial" w:hAnsi="Arial" w:cs="Arial"/>
          <w:sz w:val="24"/>
          <w:szCs w:val="24"/>
        </w:rPr>
        <w:t>ahor</w:t>
      </w:r>
      <w:r w:rsidR="000726CB" w:rsidRPr="00DF7866">
        <w:rPr>
          <w:rFonts w:ascii="Arial" w:hAnsi="Arial" w:cs="Arial"/>
          <w:sz w:val="24"/>
          <w:szCs w:val="24"/>
        </w:rPr>
        <w:t xml:space="preserve">ro </w:t>
      </w:r>
      <w:r w:rsidRPr="00DF7866">
        <w:rPr>
          <w:rFonts w:ascii="Arial" w:hAnsi="Arial" w:cs="Arial"/>
          <w:sz w:val="24"/>
          <w:szCs w:val="24"/>
        </w:rPr>
        <w:t xml:space="preserve">de </w:t>
      </w:r>
      <w:r w:rsidR="00F81692">
        <w:rPr>
          <w:rFonts w:ascii="Arial" w:hAnsi="Arial" w:cs="Arial"/>
          <w:sz w:val="24"/>
          <w:szCs w:val="24"/>
        </w:rPr>
        <w:t xml:space="preserve">3,33 </w:t>
      </w:r>
      <w:r w:rsidRPr="00DF7866">
        <w:rPr>
          <w:rFonts w:ascii="Arial" w:hAnsi="Arial" w:cs="Arial"/>
          <w:sz w:val="24"/>
          <w:szCs w:val="24"/>
        </w:rPr>
        <w:t xml:space="preserve">días hábiles, de los </w:t>
      </w:r>
      <w:r w:rsidR="00F81692">
        <w:rPr>
          <w:rFonts w:ascii="Arial" w:hAnsi="Arial" w:cs="Arial"/>
          <w:sz w:val="24"/>
          <w:szCs w:val="24"/>
        </w:rPr>
        <w:t>15</w:t>
      </w:r>
      <w:r w:rsidRPr="00DF7866">
        <w:rPr>
          <w:rFonts w:ascii="Arial" w:hAnsi="Arial" w:cs="Arial"/>
          <w:sz w:val="24"/>
          <w:szCs w:val="24"/>
        </w:rPr>
        <w:t xml:space="preserve"> días hábiles que se poseían.</w:t>
      </w:r>
    </w:p>
    <w:p w:rsidR="003F19E9" w:rsidRPr="00DF7866" w:rsidRDefault="003F19E9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3F19E9" w:rsidRPr="00DF7866" w:rsidRDefault="003F19E9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F7530" w:rsidRPr="00DF7866" w:rsidRDefault="00007FF5" w:rsidP="00DF7866">
      <w:pPr>
        <w:pStyle w:val="Ttulo2"/>
        <w:spacing w:before="0" w:after="0" w:line="240" w:lineRule="auto"/>
        <w:ind w:left="284"/>
        <w:jc w:val="both"/>
        <w:rPr>
          <w:rFonts w:cs="Arial"/>
          <w:szCs w:val="24"/>
          <w:lang w:val="es-ES"/>
        </w:rPr>
      </w:pPr>
      <w:bookmarkStart w:id="20" w:name="_Toc520871359"/>
      <w:bookmarkStart w:id="21" w:name="_Toc520889933"/>
      <w:bookmarkStart w:id="22" w:name="_Toc535239894"/>
      <w:bookmarkStart w:id="23" w:name="_Toc856325"/>
      <w:r w:rsidRPr="00DF7866">
        <w:rPr>
          <w:rFonts w:cs="Arial"/>
          <w:szCs w:val="24"/>
          <w:lang w:val="es-ES"/>
        </w:rPr>
        <w:t xml:space="preserve">Análisis </w:t>
      </w:r>
      <w:r>
        <w:rPr>
          <w:rFonts w:cs="Arial"/>
          <w:szCs w:val="24"/>
          <w:lang w:val="es-ES"/>
        </w:rPr>
        <w:t>d</w:t>
      </w:r>
      <w:r w:rsidRPr="00DF7866">
        <w:rPr>
          <w:rFonts w:cs="Arial"/>
          <w:szCs w:val="24"/>
          <w:lang w:val="es-ES"/>
        </w:rPr>
        <w:t xml:space="preserve">e </w:t>
      </w:r>
      <w:r>
        <w:rPr>
          <w:rFonts w:cs="Arial"/>
          <w:szCs w:val="24"/>
          <w:lang w:val="es-ES"/>
        </w:rPr>
        <w:t>l</w:t>
      </w:r>
      <w:r w:rsidRPr="00DF7866">
        <w:rPr>
          <w:rFonts w:cs="Arial"/>
          <w:szCs w:val="24"/>
          <w:lang w:val="es-ES"/>
        </w:rPr>
        <w:t xml:space="preserve">as Respuestas </w:t>
      </w:r>
      <w:r>
        <w:rPr>
          <w:rFonts w:cs="Arial"/>
          <w:szCs w:val="24"/>
          <w:lang w:val="es-ES"/>
        </w:rPr>
        <w:t>c</w:t>
      </w:r>
      <w:r w:rsidRPr="00DF7866">
        <w:rPr>
          <w:rFonts w:cs="Arial"/>
          <w:szCs w:val="24"/>
          <w:lang w:val="es-ES"/>
        </w:rPr>
        <w:t>on Cierre</w:t>
      </w:r>
      <w:r w:rsidRPr="00DF7866">
        <w:rPr>
          <w:rFonts w:cs="Arial"/>
          <w:szCs w:val="24"/>
        </w:rPr>
        <w:t xml:space="preserve"> </w:t>
      </w:r>
      <w:r w:rsidRPr="00DF7866">
        <w:rPr>
          <w:rFonts w:cs="Arial"/>
          <w:szCs w:val="24"/>
          <w:lang w:val="es-ES"/>
        </w:rPr>
        <w:t>Oportuno</w:t>
      </w:r>
      <w:bookmarkEnd w:id="20"/>
      <w:bookmarkEnd w:id="21"/>
      <w:bookmarkEnd w:id="22"/>
      <w:bookmarkEnd w:id="23"/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F7530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De las </w:t>
      </w:r>
      <w:r w:rsidR="00F151F1">
        <w:rPr>
          <w:rFonts w:ascii="Arial" w:hAnsi="Arial" w:cs="Arial"/>
          <w:sz w:val="24"/>
          <w:szCs w:val="24"/>
          <w:lang w:val="es-ES"/>
        </w:rPr>
        <w:t>264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F151F1">
        <w:rPr>
          <w:rFonts w:ascii="Arial" w:hAnsi="Arial" w:cs="Arial"/>
          <w:sz w:val="24"/>
          <w:szCs w:val="24"/>
          <w:lang w:val="es-ES"/>
        </w:rPr>
        <w:t>100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 PQRSD solucionadas en </w:t>
      </w:r>
      <w:r w:rsidR="00F151F1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</w:t>
      </w:r>
      <w:r w:rsidR="002973C9">
        <w:rPr>
          <w:rFonts w:ascii="Arial" w:hAnsi="Arial" w:cs="Arial"/>
          <w:sz w:val="24"/>
          <w:szCs w:val="24"/>
          <w:lang w:val="es-ES"/>
        </w:rPr>
        <w:t>144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2973C9">
        <w:rPr>
          <w:rFonts w:ascii="Arial" w:hAnsi="Arial" w:cs="Arial"/>
          <w:sz w:val="24"/>
          <w:szCs w:val="24"/>
          <w:lang w:val="es-ES"/>
        </w:rPr>
        <w:t>54,54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 corresponden a las que la ley determinaba que debían responderse antes de finalizar este mismo mes. Y </w:t>
      </w:r>
      <w:r w:rsidR="002973C9">
        <w:rPr>
          <w:rFonts w:ascii="Arial" w:hAnsi="Arial" w:cs="Arial"/>
          <w:sz w:val="24"/>
          <w:szCs w:val="24"/>
          <w:lang w:val="es-ES"/>
        </w:rPr>
        <w:t>120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2973C9" w:rsidRPr="002973C9">
        <w:rPr>
          <w:rFonts w:ascii="Arial" w:hAnsi="Arial" w:cs="Arial"/>
          <w:sz w:val="24"/>
          <w:szCs w:val="24"/>
          <w:lang w:val="es-ES"/>
        </w:rPr>
        <w:t>45,46</w:t>
      </w:r>
      <w:r w:rsidRPr="00DF7866">
        <w:rPr>
          <w:rFonts w:ascii="Arial" w:hAnsi="Arial" w:cs="Arial"/>
          <w:sz w:val="24"/>
          <w:szCs w:val="24"/>
          <w:lang w:val="es-ES"/>
        </w:rPr>
        <w:t>%) se solucionaron de manera anticipada; así los términos de ley establecerían que podrían responderse en el(los) siguiente(s) mes(es).</w:t>
      </w:r>
    </w:p>
    <w:p w:rsidR="00EA3F0A" w:rsidRPr="00DF7866" w:rsidRDefault="00EA3F0A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Del total de PQRSD solucionadas oportunamente en </w:t>
      </w:r>
      <w:r w:rsidR="00B26CAF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B26CAF">
        <w:rPr>
          <w:rFonts w:ascii="Arial" w:hAnsi="Arial" w:cs="Arial"/>
          <w:sz w:val="24"/>
          <w:szCs w:val="24"/>
          <w:lang w:val="es-ES"/>
        </w:rPr>
        <w:t>136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), la tipología más gestionada fueron los </w:t>
      </w:r>
      <w:r w:rsidR="00F26BB1">
        <w:rPr>
          <w:rFonts w:ascii="Arial" w:hAnsi="Arial" w:cs="Arial"/>
          <w:sz w:val="24"/>
          <w:szCs w:val="24"/>
          <w:lang w:val="es-ES"/>
        </w:rPr>
        <w:t>“Derechos de Petición de Interés Particular”</w:t>
      </w:r>
      <w:r w:rsidR="00A050E9"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con un total de </w:t>
      </w:r>
      <w:r w:rsidR="00F26BB1">
        <w:rPr>
          <w:rFonts w:ascii="Arial" w:hAnsi="Arial" w:cs="Arial"/>
          <w:sz w:val="24"/>
          <w:szCs w:val="24"/>
          <w:lang w:val="es-ES"/>
        </w:rPr>
        <w:t>118</w:t>
      </w:r>
      <w:r w:rsidR="00A050E9" w:rsidRPr="00DF7866">
        <w:rPr>
          <w:rFonts w:ascii="Arial" w:hAnsi="Arial" w:cs="Arial"/>
          <w:sz w:val="24"/>
          <w:szCs w:val="24"/>
          <w:lang w:val="es-ES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lastRenderedPageBreak/>
        <w:t>(</w:t>
      </w:r>
      <w:r w:rsidR="00F26BB1" w:rsidRPr="00F26BB1">
        <w:rPr>
          <w:rFonts w:ascii="Arial" w:hAnsi="Arial" w:cs="Arial"/>
          <w:sz w:val="24"/>
          <w:szCs w:val="24"/>
          <w:lang w:val="es-ES"/>
        </w:rPr>
        <w:t>86,76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%); y la dependencia que más gestiono las respuestas de manera oportuna a las PQRSD fue la </w:t>
      </w:r>
      <w:r w:rsidR="00F26BB1">
        <w:rPr>
          <w:rFonts w:ascii="Arial" w:hAnsi="Arial" w:cs="Arial"/>
          <w:sz w:val="24"/>
          <w:szCs w:val="24"/>
          <w:lang w:val="es-ES"/>
        </w:rPr>
        <w:t>Dirección de Reasentamientos Humanos c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on un total de </w:t>
      </w:r>
      <w:r w:rsidR="00F26BB1">
        <w:rPr>
          <w:rFonts w:ascii="Arial" w:hAnsi="Arial" w:cs="Arial"/>
          <w:sz w:val="24"/>
          <w:szCs w:val="24"/>
          <w:lang w:val="es-ES"/>
        </w:rPr>
        <w:t>63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(</w:t>
      </w:r>
      <w:r w:rsidR="00745B33" w:rsidRPr="00745B33">
        <w:rPr>
          <w:rFonts w:ascii="Arial" w:hAnsi="Arial" w:cs="Arial"/>
          <w:sz w:val="24"/>
          <w:szCs w:val="24"/>
          <w:lang w:val="es-ES"/>
        </w:rPr>
        <w:t>46,32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%). </w:t>
      </w:r>
    </w:p>
    <w:p w:rsidR="005F7530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674E2" w:rsidRPr="00DF7866" w:rsidRDefault="00C674E2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F7530" w:rsidRPr="00DF7866" w:rsidRDefault="00ED7468" w:rsidP="00DF7866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24" w:name="_Toc535239895"/>
      <w:bookmarkStart w:id="25" w:name="_Toc856326"/>
      <w:r w:rsidRPr="00DF7866">
        <w:rPr>
          <w:rFonts w:cs="Arial"/>
          <w:szCs w:val="24"/>
          <w:lang w:val="es-ES"/>
        </w:rPr>
        <w:t xml:space="preserve">Análisis </w:t>
      </w:r>
      <w:r>
        <w:rPr>
          <w:rFonts w:cs="Arial"/>
          <w:szCs w:val="24"/>
          <w:lang w:val="es-ES"/>
        </w:rPr>
        <w:t>d</w:t>
      </w:r>
      <w:r w:rsidRPr="00DF7866">
        <w:rPr>
          <w:rFonts w:cs="Arial"/>
          <w:szCs w:val="24"/>
          <w:lang w:val="es-ES"/>
        </w:rPr>
        <w:t xml:space="preserve">e </w:t>
      </w:r>
      <w:r>
        <w:rPr>
          <w:rFonts w:cs="Arial"/>
          <w:szCs w:val="24"/>
          <w:lang w:val="es-ES"/>
        </w:rPr>
        <w:t>l</w:t>
      </w:r>
      <w:r w:rsidRPr="00DF7866">
        <w:rPr>
          <w:rFonts w:cs="Arial"/>
          <w:szCs w:val="24"/>
          <w:lang w:val="es-ES"/>
        </w:rPr>
        <w:t xml:space="preserve">as Respuestas </w:t>
      </w:r>
      <w:r>
        <w:rPr>
          <w:rFonts w:cs="Arial"/>
          <w:szCs w:val="24"/>
          <w:lang w:val="es-ES"/>
        </w:rPr>
        <w:t>c</w:t>
      </w:r>
      <w:r w:rsidRPr="00DF7866">
        <w:rPr>
          <w:rFonts w:cs="Arial"/>
          <w:szCs w:val="24"/>
          <w:lang w:val="es-ES"/>
        </w:rPr>
        <w:t>on Cierre</w:t>
      </w:r>
      <w:r w:rsidRPr="00DF7866">
        <w:rPr>
          <w:rFonts w:cs="Arial"/>
          <w:szCs w:val="24"/>
        </w:rPr>
        <w:t xml:space="preserve"> Inoportuno</w:t>
      </w:r>
      <w:bookmarkEnd w:id="24"/>
      <w:bookmarkEnd w:id="25"/>
      <w:r w:rsidRPr="00DF7866">
        <w:rPr>
          <w:rFonts w:cs="Arial"/>
          <w:szCs w:val="24"/>
        </w:rPr>
        <w:t xml:space="preserve"> </w:t>
      </w: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6569C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7866">
        <w:rPr>
          <w:rFonts w:ascii="Arial" w:hAnsi="Arial" w:cs="Arial"/>
          <w:sz w:val="24"/>
          <w:szCs w:val="24"/>
          <w:lang w:val="es-ES_tradnl"/>
        </w:rPr>
        <w:t xml:space="preserve">Para </w:t>
      </w:r>
      <w:r w:rsidR="000B1360">
        <w:rPr>
          <w:rFonts w:ascii="Arial" w:hAnsi="Arial" w:cs="Arial"/>
          <w:sz w:val="24"/>
          <w:szCs w:val="24"/>
          <w:lang w:val="es-ES_tradnl"/>
        </w:rPr>
        <w:t xml:space="preserve">enero 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0B1360">
        <w:rPr>
          <w:rFonts w:ascii="Arial" w:hAnsi="Arial" w:cs="Arial"/>
          <w:sz w:val="24"/>
          <w:szCs w:val="24"/>
          <w:lang w:val="es-ES_tradnl"/>
        </w:rPr>
        <w:t>2019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, se identificaron que </w:t>
      </w:r>
      <w:r w:rsidR="00CE228B">
        <w:rPr>
          <w:rFonts w:ascii="Arial" w:hAnsi="Arial" w:cs="Arial"/>
          <w:sz w:val="24"/>
          <w:szCs w:val="24"/>
          <w:lang w:val="es-ES_tradnl"/>
        </w:rPr>
        <w:t>10 (100,00%)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PQRSD no fueron solucionadas dentro del tiempo determinado por la ley. Las cuales</w:t>
      </w:r>
      <w:r w:rsidR="00CE228B">
        <w:rPr>
          <w:rFonts w:ascii="Arial" w:hAnsi="Arial" w:cs="Arial"/>
          <w:sz w:val="24"/>
          <w:szCs w:val="24"/>
          <w:lang w:val="es-ES_tradnl"/>
        </w:rPr>
        <w:t>, 2 (20,00%)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228B">
        <w:rPr>
          <w:rFonts w:ascii="Arial" w:hAnsi="Arial" w:cs="Arial"/>
          <w:sz w:val="24"/>
          <w:szCs w:val="24"/>
          <w:lang w:val="es-ES_tradnl"/>
        </w:rPr>
        <w:t xml:space="preserve">debían ser 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solucionadas en el mes de </w:t>
      </w:r>
      <w:r w:rsidR="00CE228B">
        <w:rPr>
          <w:rFonts w:ascii="Arial" w:hAnsi="Arial" w:cs="Arial"/>
          <w:sz w:val="24"/>
          <w:szCs w:val="24"/>
          <w:lang w:val="es-ES_tradnl"/>
        </w:rPr>
        <w:t>diciembre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CE228B">
        <w:rPr>
          <w:rFonts w:ascii="Arial" w:hAnsi="Arial" w:cs="Arial"/>
          <w:sz w:val="24"/>
          <w:szCs w:val="24"/>
          <w:lang w:val="es-ES_tradnl"/>
        </w:rPr>
        <w:t>8 (80,00%)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CE228B">
        <w:rPr>
          <w:rFonts w:ascii="Arial" w:hAnsi="Arial" w:cs="Arial"/>
          <w:sz w:val="24"/>
          <w:szCs w:val="24"/>
          <w:lang w:val="es-ES_tradnl"/>
        </w:rPr>
        <w:t>enero</w:t>
      </w:r>
      <w:r w:rsidRPr="00DF7866">
        <w:rPr>
          <w:rFonts w:ascii="Arial" w:hAnsi="Arial" w:cs="Arial"/>
          <w:sz w:val="24"/>
          <w:szCs w:val="24"/>
          <w:lang w:val="es-ES_tradnl"/>
        </w:rPr>
        <w:t>.</w:t>
      </w:r>
    </w:p>
    <w:p w:rsidR="005F7530" w:rsidRPr="00DF7866" w:rsidRDefault="0046569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78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F7530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7866">
        <w:rPr>
          <w:rFonts w:ascii="Arial" w:hAnsi="Arial" w:cs="Arial"/>
          <w:sz w:val="24"/>
          <w:szCs w:val="24"/>
          <w:lang w:val="es-ES_tradnl"/>
        </w:rPr>
        <w:t xml:space="preserve">En la siguiente tabla podemos identificar que las </w:t>
      </w:r>
      <w:r w:rsidR="00AC347A">
        <w:rPr>
          <w:rFonts w:ascii="Arial" w:hAnsi="Arial" w:cs="Arial"/>
          <w:sz w:val="24"/>
          <w:szCs w:val="24"/>
          <w:lang w:val="es-ES_tradnl"/>
        </w:rPr>
        <w:t xml:space="preserve">10 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PQRSD que tienen respuesta inoportuna, existió un exceso de los límites de tiempo determinados por la ley en un </w:t>
      </w:r>
      <w:r w:rsidR="005E2E2C">
        <w:rPr>
          <w:rFonts w:ascii="Arial" w:hAnsi="Arial" w:cs="Arial"/>
          <w:sz w:val="24"/>
          <w:szCs w:val="24"/>
          <w:lang w:val="es-ES_tradnl"/>
        </w:rPr>
        <w:t>142,67</w:t>
      </w:r>
      <w:r w:rsidRPr="00DF7866">
        <w:rPr>
          <w:rFonts w:ascii="Arial" w:hAnsi="Arial" w:cs="Arial"/>
          <w:sz w:val="24"/>
          <w:szCs w:val="24"/>
          <w:lang w:val="es-ES_tradnl"/>
        </w:rPr>
        <w:t>% en promedio.</w:t>
      </w:r>
      <w:r w:rsidR="00900DA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_tradnl"/>
        </w:rPr>
        <w:t>Frente al mes inmediatamente anterior (</w:t>
      </w:r>
      <w:r w:rsidR="005E2E2C">
        <w:rPr>
          <w:rFonts w:ascii="Arial" w:hAnsi="Arial" w:cs="Arial"/>
          <w:sz w:val="24"/>
          <w:szCs w:val="24"/>
          <w:lang w:val="es-ES_tradnl"/>
        </w:rPr>
        <w:t>diciembre)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, se </w:t>
      </w:r>
      <w:r w:rsidR="003B0AEA">
        <w:rPr>
          <w:rFonts w:ascii="Arial" w:hAnsi="Arial" w:cs="Arial"/>
          <w:sz w:val="24"/>
          <w:szCs w:val="24"/>
          <w:lang w:val="es-ES_tradnl"/>
        </w:rPr>
        <w:t>incrementaron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los incumplimientos en los tiempos de respuesta, pasando de </w:t>
      </w:r>
      <w:r w:rsidR="003B0AEA">
        <w:rPr>
          <w:rFonts w:ascii="Arial" w:hAnsi="Arial" w:cs="Arial"/>
          <w:sz w:val="24"/>
          <w:szCs w:val="24"/>
          <w:lang w:val="es-ES_tradnl"/>
        </w:rPr>
        <w:t xml:space="preserve">7 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3B0AEA">
        <w:rPr>
          <w:rFonts w:ascii="Arial" w:hAnsi="Arial" w:cs="Arial"/>
          <w:sz w:val="24"/>
          <w:szCs w:val="24"/>
          <w:lang w:val="es-ES_tradnl"/>
        </w:rPr>
        <w:t>10</w:t>
      </w:r>
      <w:r w:rsidRPr="00DF7866">
        <w:rPr>
          <w:rFonts w:ascii="Arial" w:hAnsi="Arial" w:cs="Arial"/>
          <w:sz w:val="24"/>
          <w:szCs w:val="24"/>
          <w:lang w:val="es-ES_tradnl"/>
        </w:rPr>
        <w:t xml:space="preserve"> PQRSD.</w:t>
      </w:r>
    </w:p>
    <w:p w:rsidR="00900DA5" w:rsidRDefault="00900DA5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GridTable4Accent1"/>
        <w:tblW w:w="9493" w:type="dxa"/>
        <w:tblLayout w:type="fixed"/>
        <w:tblLook w:val="04A0" w:firstRow="1" w:lastRow="0" w:firstColumn="1" w:lastColumn="0" w:noHBand="0" w:noVBand="1"/>
      </w:tblPr>
      <w:tblGrid>
        <w:gridCol w:w="532"/>
        <w:gridCol w:w="1306"/>
        <w:gridCol w:w="1418"/>
        <w:gridCol w:w="1559"/>
        <w:gridCol w:w="709"/>
        <w:gridCol w:w="567"/>
        <w:gridCol w:w="1225"/>
        <w:gridCol w:w="1326"/>
        <w:gridCol w:w="851"/>
      </w:tblGrid>
      <w:tr w:rsidR="00B45EBE" w:rsidRPr="00154E90" w:rsidTr="0018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B45EBE" w:rsidRPr="00154E90" w:rsidRDefault="00B45EBE" w:rsidP="00702ED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TABLA No. 9 – CIERRE INOPORTUNO DE LAS PQRSD</w:t>
            </w:r>
          </w:p>
        </w:tc>
      </w:tr>
      <w:tr w:rsidR="006B355B" w:rsidRPr="00154E90" w:rsidTr="00A93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B45EBE" w:rsidRPr="00154E90" w:rsidRDefault="00B45EBE" w:rsidP="006B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30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418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Número petición </w:t>
            </w:r>
            <w:r w:rsidR="00B44935"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SDQS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0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Tipo de petición</w:t>
            </w:r>
            <w:r w:rsidR="00B45EBE" w:rsidRPr="00154E90">
              <w:rPr>
                <w:rStyle w:val="Refdenotaalpie"/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22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Fecha de respuesta máxima</w:t>
            </w:r>
          </w:p>
        </w:tc>
        <w:tc>
          <w:tcPr>
            <w:tcW w:w="13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B45EBE" w:rsidRPr="00154E90" w:rsidRDefault="00432EBC" w:rsidP="006B35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85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B45EBE" w:rsidRPr="00154E90" w:rsidRDefault="00432EBC" w:rsidP="00DE7145">
            <w:pPr>
              <w:spacing w:after="0" w:line="240" w:lineRule="auto"/>
              <w:ind w:lef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6B355B" w:rsidRPr="00154E90" w:rsidTr="00A9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3/12/2018</w:t>
            </w:r>
          </w:p>
        </w:tc>
        <w:tc>
          <w:tcPr>
            <w:tcW w:w="1418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2917402018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24/12/2018</w:t>
            </w:r>
          </w:p>
        </w:tc>
        <w:tc>
          <w:tcPr>
            <w:tcW w:w="1326" w:type="dxa"/>
            <w:tcBorders>
              <w:top w:val="single" w:sz="4" w:space="0" w:color="DBE5F1" w:themeColor="accent1" w:themeTint="33"/>
            </w:tcBorders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23/01/2019</w:t>
            </w:r>
          </w:p>
        </w:tc>
        <w:tc>
          <w:tcPr>
            <w:tcW w:w="851" w:type="dxa"/>
            <w:tcBorders>
              <w:top w:val="single" w:sz="4" w:space="0" w:color="DBE5F1" w:themeColor="accent1" w:themeTint="33"/>
            </w:tcBorders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6B355B" w:rsidRPr="00154E90" w:rsidTr="00A93F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shd w:val="clear" w:color="auto" w:fill="auto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2949802018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22/01/2019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6B355B" w:rsidRPr="00154E90" w:rsidTr="00A9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2977532018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6B355B" w:rsidRPr="00154E90" w:rsidTr="00A93F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2970832018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6B355B" w:rsidRPr="00154E90" w:rsidTr="00A9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2970822018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6B355B" w:rsidRPr="00154E90" w:rsidTr="00A93F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2996522018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6B355B" w:rsidRPr="00154E90" w:rsidTr="00A9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3004092018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6B355B" w:rsidRPr="00154E90" w:rsidTr="00A93F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06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26/12/2018</w:t>
            </w:r>
          </w:p>
        </w:tc>
        <w:tc>
          <w:tcPr>
            <w:tcW w:w="1418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3061262018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709" w:type="dxa"/>
            <w:noWrap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DPIG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6B355B" w:rsidRPr="00154E90" w:rsidTr="00A9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06" w:type="dxa"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4/01/2019</w:t>
            </w:r>
          </w:p>
        </w:tc>
        <w:tc>
          <w:tcPr>
            <w:tcW w:w="1418" w:type="dxa"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13502019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09" w:type="dxa"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DPIP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6B355B" w:rsidRPr="00154E90" w:rsidTr="00A93F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noWrap/>
            <w:vAlign w:val="center"/>
          </w:tcPr>
          <w:p w:rsidR="00B45EBE" w:rsidRPr="00D11905" w:rsidRDefault="007A2629" w:rsidP="006B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06" w:type="dxa"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9/01/2019</w:t>
            </w:r>
          </w:p>
        </w:tc>
        <w:tc>
          <w:tcPr>
            <w:tcW w:w="1418" w:type="dxa"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29302019</w:t>
            </w:r>
          </w:p>
        </w:tc>
        <w:tc>
          <w:tcPr>
            <w:tcW w:w="1559" w:type="dxa"/>
            <w:vAlign w:val="center"/>
            <w:hideMark/>
          </w:tcPr>
          <w:p w:rsidR="00B45EBE" w:rsidRPr="00D11905" w:rsidRDefault="00E35ED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09" w:type="dxa"/>
            <w:vAlign w:val="center"/>
            <w:hideMark/>
          </w:tcPr>
          <w:p w:rsidR="00B45EBE" w:rsidRPr="00D11905" w:rsidRDefault="00EB2D78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4E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DPIG</w:t>
            </w:r>
          </w:p>
        </w:tc>
        <w:tc>
          <w:tcPr>
            <w:tcW w:w="567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25" w:type="dxa"/>
            <w:noWrap/>
            <w:vAlign w:val="center"/>
            <w:hideMark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30/01/2019</w:t>
            </w:r>
          </w:p>
        </w:tc>
        <w:tc>
          <w:tcPr>
            <w:tcW w:w="1326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851" w:type="dxa"/>
            <w:vAlign w:val="center"/>
          </w:tcPr>
          <w:p w:rsidR="00B45EBE" w:rsidRPr="00D11905" w:rsidRDefault="00B45EBE" w:rsidP="006B14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</w:tbl>
    <w:p w:rsidR="00D45D3A" w:rsidRDefault="00D45D3A" w:rsidP="00D45D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1ED3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E81E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E81ED3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5F7530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F7530" w:rsidRPr="00DF7866" w:rsidRDefault="00A86455" w:rsidP="00DF7866">
      <w:pPr>
        <w:pStyle w:val="Ttulo2"/>
        <w:spacing w:before="0" w:after="0" w:line="240" w:lineRule="auto"/>
        <w:rPr>
          <w:rFonts w:cs="Arial"/>
          <w:szCs w:val="24"/>
        </w:rPr>
      </w:pPr>
      <w:bookmarkStart w:id="26" w:name="_Toc535239896"/>
      <w:bookmarkStart w:id="27" w:name="_Toc856327"/>
      <w:r w:rsidRPr="00DF7866">
        <w:rPr>
          <w:rFonts w:cs="Arial"/>
          <w:szCs w:val="24"/>
        </w:rPr>
        <w:t>CÁLCULO DEL INDICADOR</w:t>
      </w:r>
      <w:bookmarkEnd w:id="26"/>
      <w:bookmarkEnd w:id="27"/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El indicador definido para medir el cumplimiento en las respuestas a las PQRSD interpuestas por el Ciudadano por parte de la CVP, es del tipo de Eficacia, el cual se calcula de la siguiente forma:</w:t>
      </w:r>
    </w:p>
    <w:p w:rsidR="0035622E" w:rsidRPr="00DF7866" w:rsidRDefault="0035622E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GridTable4Accent1"/>
        <w:tblW w:w="9314" w:type="dxa"/>
        <w:tblLook w:val="04A0" w:firstRow="1" w:lastRow="0" w:firstColumn="1" w:lastColumn="0" w:noHBand="0" w:noVBand="1"/>
      </w:tblPr>
      <w:tblGrid>
        <w:gridCol w:w="1980"/>
        <w:gridCol w:w="3544"/>
        <w:gridCol w:w="2268"/>
        <w:gridCol w:w="1522"/>
      </w:tblGrid>
      <w:tr w:rsidR="005F7530" w:rsidRPr="00532A3D" w:rsidTr="005F7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4" w:type="dxa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5F7530" w:rsidRPr="00532A3D" w:rsidRDefault="005F7530" w:rsidP="00DF78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sz w:val="20"/>
                <w:szCs w:val="20"/>
                <w:lang w:eastAsia="es-CO"/>
              </w:rPr>
              <w:t xml:space="preserve">TABLA No. </w:t>
            </w:r>
            <w:r w:rsidR="00A93F12">
              <w:rPr>
                <w:rFonts w:ascii="Arial" w:hAnsi="Arial" w:cs="Arial"/>
                <w:sz w:val="20"/>
                <w:szCs w:val="20"/>
                <w:lang w:eastAsia="es-CO"/>
              </w:rPr>
              <w:t>10</w:t>
            </w:r>
            <w:r w:rsidRPr="00532A3D">
              <w:rPr>
                <w:rFonts w:ascii="Arial" w:hAnsi="Arial" w:cs="Arial"/>
                <w:sz w:val="20"/>
                <w:szCs w:val="20"/>
                <w:lang w:eastAsia="es-CO"/>
              </w:rPr>
              <w:t xml:space="preserve"> - </w:t>
            </w:r>
            <w:r w:rsidRPr="00532A3D">
              <w:rPr>
                <w:rFonts w:ascii="Arial" w:hAnsi="Arial" w:cs="Arial"/>
                <w:sz w:val="20"/>
                <w:szCs w:val="20"/>
              </w:rPr>
              <w:t>CÁLCULO DEL INDICADOR DE EFICACIA</w:t>
            </w:r>
          </w:p>
        </w:tc>
      </w:tr>
      <w:tr w:rsidR="005F7530" w:rsidRPr="00532A3D" w:rsidTr="005F7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:rsidR="005F7530" w:rsidRPr="00532A3D" w:rsidRDefault="005F7530" w:rsidP="00DF7866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color w:val="FFFFFF" w:themeColor="background1"/>
                <w:sz w:val="20"/>
                <w:szCs w:val="20"/>
                <w:lang w:eastAsia="es-CO"/>
              </w:rPr>
              <w:t>NOMBRE DEL INDICADOR</w:t>
            </w:r>
          </w:p>
        </w:tc>
        <w:tc>
          <w:tcPr>
            <w:tcW w:w="354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:rsidR="005F7530" w:rsidRPr="00532A3D" w:rsidRDefault="005F7530" w:rsidP="00DF78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CÁLCULO DEL INDICADOR</w:t>
            </w: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:rsidR="005F7530" w:rsidRPr="00532A3D" w:rsidRDefault="005F7530" w:rsidP="00DF78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FÓRMULA</w:t>
            </w:r>
          </w:p>
        </w:tc>
        <w:tc>
          <w:tcPr>
            <w:tcW w:w="152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:rsidR="005F7530" w:rsidRPr="00532A3D" w:rsidRDefault="005F7530" w:rsidP="00DF78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RESULTADO</w:t>
            </w:r>
          </w:p>
        </w:tc>
      </w:tr>
      <w:tr w:rsidR="005F7530" w:rsidRPr="00532A3D" w:rsidTr="005F7530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8DB3E2" w:themeColor="text2" w:themeTint="66"/>
            </w:tcBorders>
            <w:vAlign w:val="center"/>
          </w:tcPr>
          <w:p w:rsidR="005F7530" w:rsidRPr="00532A3D" w:rsidRDefault="005F7530" w:rsidP="00DF7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sz w:val="20"/>
                <w:szCs w:val="20"/>
                <w:lang w:val="es-ES"/>
              </w:rPr>
              <w:t>Eficacia de Respuestas a las PQRSD</w:t>
            </w:r>
          </w:p>
        </w:tc>
        <w:tc>
          <w:tcPr>
            <w:tcW w:w="3544" w:type="dxa"/>
            <w:tcBorders>
              <w:top w:val="single" w:sz="4" w:space="0" w:color="8DB3E2" w:themeColor="text2" w:themeTint="66"/>
            </w:tcBorders>
            <w:vAlign w:val="center"/>
          </w:tcPr>
          <w:p w:rsidR="005F7530" w:rsidRPr="00532A3D" w:rsidRDefault="005F7530" w:rsidP="00DF78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(</w:t>
            </w:r>
            <w:r w:rsidRPr="00532A3D">
              <w:rPr>
                <w:rFonts w:ascii="Arial" w:hAnsi="Arial" w:cs="Arial"/>
                <w:sz w:val="20"/>
                <w:szCs w:val="20"/>
                <w:lang w:val="es-ES"/>
              </w:rPr>
              <w:t>Número total de respuestas emitidas a las PQRSD en el mes) /</w:t>
            </w: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(</w:t>
            </w:r>
            <w:r w:rsidRPr="00532A3D">
              <w:rPr>
                <w:rFonts w:ascii="Arial" w:hAnsi="Arial" w:cs="Arial"/>
                <w:sz w:val="20"/>
                <w:szCs w:val="20"/>
                <w:lang w:val="es-ES"/>
              </w:rPr>
              <w:t>Número total de PQRSD que deben ser solucionadas en el mes</w:t>
            </w: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) * 100</w:t>
            </w:r>
          </w:p>
        </w:tc>
        <w:tc>
          <w:tcPr>
            <w:tcW w:w="2268" w:type="dxa"/>
            <w:tcBorders>
              <w:top w:val="single" w:sz="4" w:space="0" w:color="8DB3E2" w:themeColor="text2" w:themeTint="66"/>
            </w:tcBorders>
            <w:vAlign w:val="center"/>
          </w:tcPr>
          <w:p w:rsidR="005F7530" w:rsidRPr="00532A3D" w:rsidRDefault="005F7530" w:rsidP="00DF78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((</w:t>
            </w:r>
            <w:r w:rsidR="009D3E17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264</w:t>
            </w: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) / (</w:t>
            </w:r>
            <w:r w:rsidR="009D3E17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78</w:t>
            </w:r>
            <w:r w:rsidRPr="00532A3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)) x 100</w:t>
            </w:r>
          </w:p>
        </w:tc>
        <w:tc>
          <w:tcPr>
            <w:tcW w:w="1522" w:type="dxa"/>
            <w:tcBorders>
              <w:top w:val="single" w:sz="4" w:space="0" w:color="8DB3E2" w:themeColor="text2" w:themeTint="66"/>
            </w:tcBorders>
            <w:vAlign w:val="center"/>
          </w:tcPr>
          <w:p w:rsidR="005F7530" w:rsidRPr="00532A3D" w:rsidRDefault="009D3E17" w:rsidP="00DF78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E17">
              <w:rPr>
                <w:rFonts w:ascii="Arial" w:hAnsi="Arial" w:cs="Arial"/>
                <w:b/>
                <w:sz w:val="20"/>
                <w:szCs w:val="20"/>
                <w:lang w:val="es-ES"/>
              </w:rPr>
              <w:t>338,46</w:t>
            </w:r>
            <w:r w:rsidR="005F7530" w:rsidRPr="00532A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:rsidR="00B6646F" w:rsidRDefault="00B6646F" w:rsidP="00B6646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1ED3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E81E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E81ED3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EA3F0A" w:rsidRDefault="00EA3F0A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866">
        <w:rPr>
          <w:rFonts w:ascii="Arial" w:hAnsi="Arial" w:cs="Arial"/>
          <w:sz w:val="24"/>
          <w:szCs w:val="24"/>
        </w:rPr>
        <w:t xml:space="preserve">La anterior formula indica que se solucionaron </w:t>
      </w:r>
      <w:r w:rsidR="00DF5430" w:rsidRPr="00DF5430">
        <w:rPr>
          <w:rFonts w:ascii="Arial" w:hAnsi="Arial" w:cs="Arial"/>
          <w:sz w:val="24"/>
          <w:szCs w:val="24"/>
        </w:rPr>
        <w:t>186</w:t>
      </w:r>
      <w:r w:rsidRPr="00DF7866">
        <w:rPr>
          <w:rFonts w:ascii="Arial" w:hAnsi="Arial" w:cs="Arial"/>
          <w:sz w:val="24"/>
          <w:szCs w:val="24"/>
        </w:rPr>
        <w:t xml:space="preserve"> PQRSD más de las que se tenían contempladas.</w:t>
      </w:r>
    </w:p>
    <w:p w:rsidR="005F7530" w:rsidRPr="00DF7866" w:rsidRDefault="00DF7866" w:rsidP="00DF7866">
      <w:pPr>
        <w:pStyle w:val="Ttulo1"/>
        <w:spacing w:before="0" w:after="0" w:line="240" w:lineRule="auto"/>
        <w:jc w:val="left"/>
        <w:rPr>
          <w:rFonts w:cs="Arial"/>
          <w:szCs w:val="24"/>
        </w:rPr>
      </w:pPr>
      <w:bookmarkStart w:id="28" w:name="_Toc535239897"/>
      <w:bookmarkStart w:id="29" w:name="_Toc856328"/>
      <w:r w:rsidRPr="00DF7866">
        <w:rPr>
          <w:rFonts w:cs="Arial"/>
          <w:szCs w:val="24"/>
        </w:rPr>
        <w:lastRenderedPageBreak/>
        <w:t>CONCLUSIONES</w:t>
      </w:r>
      <w:bookmarkEnd w:id="28"/>
      <w:bookmarkEnd w:id="29"/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866">
        <w:rPr>
          <w:rFonts w:ascii="Arial" w:hAnsi="Arial" w:cs="Arial"/>
          <w:sz w:val="24"/>
          <w:szCs w:val="24"/>
        </w:rPr>
        <w:t>La tipología de mayor eficiencia en la gestión de su respuesta fue la</w:t>
      </w:r>
      <w:r w:rsidR="00A35406" w:rsidRPr="00DF7866">
        <w:rPr>
          <w:rFonts w:ascii="Arial" w:hAnsi="Arial" w:cs="Arial"/>
          <w:sz w:val="24"/>
          <w:szCs w:val="24"/>
        </w:rPr>
        <w:t xml:space="preserve"> </w:t>
      </w:r>
      <w:r w:rsidR="00A35406">
        <w:rPr>
          <w:rFonts w:ascii="Arial" w:hAnsi="Arial" w:cs="Arial"/>
          <w:sz w:val="24"/>
          <w:szCs w:val="24"/>
        </w:rPr>
        <w:t>“</w:t>
      </w:r>
      <w:r w:rsidR="00AA1E28">
        <w:rPr>
          <w:rFonts w:ascii="Arial" w:hAnsi="Arial" w:cs="Arial"/>
          <w:sz w:val="24"/>
          <w:szCs w:val="24"/>
        </w:rPr>
        <w:t>Consulta</w:t>
      </w:r>
      <w:r w:rsidR="00A35406">
        <w:rPr>
          <w:rFonts w:ascii="Arial" w:hAnsi="Arial" w:cs="Arial"/>
          <w:sz w:val="24"/>
          <w:szCs w:val="24"/>
        </w:rPr>
        <w:t>”</w:t>
      </w:r>
      <w:r w:rsidRPr="00DF7866">
        <w:rPr>
          <w:rFonts w:ascii="Arial" w:hAnsi="Arial" w:cs="Arial"/>
          <w:sz w:val="24"/>
          <w:szCs w:val="24"/>
        </w:rPr>
        <w:t xml:space="preserve"> con un </w:t>
      </w:r>
      <w:r w:rsidR="00AA1E28">
        <w:rPr>
          <w:rFonts w:ascii="Arial" w:hAnsi="Arial" w:cs="Arial"/>
          <w:sz w:val="24"/>
          <w:szCs w:val="24"/>
        </w:rPr>
        <w:t>81,48</w:t>
      </w:r>
      <w:r w:rsidRPr="00DF7866">
        <w:rPr>
          <w:rFonts w:ascii="Arial" w:hAnsi="Arial" w:cs="Arial"/>
          <w:sz w:val="24"/>
          <w:szCs w:val="24"/>
        </w:rPr>
        <w:t xml:space="preserve">% de ahorro, lo que representa </w:t>
      </w:r>
      <w:r w:rsidR="00AA1E28">
        <w:rPr>
          <w:rFonts w:ascii="Arial" w:hAnsi="Arial" w:cs="Arial"/>
          <w:sz w:val="24"/>
          <w:szCs w:val="24"/>
        </w:rPr>
        <w:t>24,44</w:t>
      </w:r>
      <w:r w:rsidRPr="00DF7866">
        <w:rPr>
          <w:rFonts w:ascii="Arial" w:hAnsi="Arial" w:cs="Arial"/>
          <w:sz w:val="24"/>
          <w:szCs w:val="24"/>
        </w:rPr>
        <w:t xml:space="preserve"> días hábiles ahorrados, de los </w:t>
      </w:r>
      <w:r w:rsidR="00AA1E28">
        <w:rPr>
          <w:rFonts w:ascii="Arial" w:hAnsi="Arial" w:cs="Arial"/>
          <w:sz w:val="24"/>
          <w:szCs w:val="24"/>
        </w:rPr>
        <w:t>30</w:t>
      </w:r>
      <w:r w:rsidRPr="00DF7866">
        <w:rPr>
          <w:rFonts w:ascii="Arial" w:hAnsi="Arial" w:cs="Arial"/>
          <w:sz w:val="24"/>
          <w:szCs w:val="24"/>
        </w:rPr>
        <w:t xml:space="preserve"> días hábiles máximos que permite la Ley. Y la </w:t>
      </w:r>
      <w:r w:rsidR="0076308E">
        <w:rPr>
          <w:rFonts w:ascii="Arial" w:hAnsi="Arial" w:cs="Arial"/>
          <w:sz w:val="24"/>
          <w:szCs w:val="24"/>
        </w:rPr>
        <w:t xml:space="preserve">“Queja” </w:t>
      </w:r>
      <w:r w:rsidRPr="00DF7866">
        <w:rPr>
          <w:rFonts w:ascii="Arial" w:hAnsi="Arial" w:cs="Arial"/>
          <w:sz w:val="24"/>
          <w:szCs w:val="24"/>
        </w:rPr>
        <w:t>es</w:t>
      </w:r>
      <w:r w:rsidR="0076308E">
        <w:rPr>
          <w:rFonts w:ascii="Arial" w:hAnsi="Arial" w:cs="Arial"/>
          <w:sz w:val="24"/>
          <w:szCs w:val="24"/>
        </w:rPr>
        <w:t xml:space="preserve"> </w:t>
      </w:r>
      <w:r w:rsidRPr="00DF7866">
        <w:rPr>
          <w:rFonts w:ascii="Arial" w:hAnsi="Arial" w:cs="Arial"/>
          <w:sz w:val="24"/>
          <w:szCs w:val="24"/>
        </w:rPr>
        <w:t xml:space="preserve">la tipología que mayor tiempo emplea para dar respuesta a las PQRSD, empleando el </w:t>
      </w:r>
      <w:r w:rsidR="0076308E">
        <w:rPr>
          <w:rFonts w:ascii="Arial" w:hAnsi="Arial" w:cs="Arial"/>
          <w:sz w:val="24"/>
          <w:szCs w:val="24"/>
        </w:rPr>
        <w:t>77,78</w:t>
      </w:r>
      <w:r w:rsidRPr="00DF7866">
        <w:rPr>
          <w:rFonts w:ascii="Arial" w:hAnsi="Arial" w:cs="Arial"/>
          <w:sz w:val="24"/>
          <w:szCs w:val="24"/>
        </w:rPr>
        <w:t xml:space="preserve">% del tiempo límite en promedio, lo que significa un </w:t>
      </w:r>
      <w:r w:rsidR="0076308E">
        <w:rPr>
          <w:rFonts w:ascii="Arial" w:hAnsi="Arial" w:cs="Arial"/>
          <w:sz w:val="24"/>
          <w:szCs w:val="24"/>
        </w:rPr>
        <w:t xml:space="preserve">ahorro </w:t>
      </w:r>
      <w:r w:rsidRPr="00DF7866">
        <w:rPr>
          <w:rFonts w:ascii="Arial" w:hAnsi="Arial" w:cs="Arial"/>
          <w:sz w:val="24"/>
          <w:szCs w:val="24"/>
        </w:rPr>
        <w:t xml:space="preserve">de </w:t>
      </w:r>
      <w:r w:rsidR="0076308E">
        <w:rPr>
          <w:rFonts w:ascii="Arial" w:hAnsi="Arial" w:cs="Arial"/>
          <w:sz w:val="24"/>
          <w:szCs w:val="24"/>
        </w:rPr>
        <w:t>3,33</w:t>
      </w:r>
      <w:r w:rsidRPr="00DF7866">
        <w:rPr>
          <w:rFonts w:ascii="Arial" w:hAnsi="Arial" w:cs="Arial"/>
          <w:sz w:val="24"/>
          <w:szCs w:val="24"/>
        </w:rPr>
        <w:t xml:space="preserve"> días hábiles, de los </w:t>
      </w:r>
      <w:r w:rsidR="0076308E">
        <w:rPr>
          <w:rFonts w:ascii="Arial" w:hAnsi="Arial" w:cs="Arial"/>
          <w:sz w:val="24"/>
          <w:szCs w:val="24"/>
        </w:rPr>
        <w:t>15</w:t>
      </w:r>
      <w:r w:rsidRPr="00DF7866">
        <w:rPr>
          <w:rFonts w:ascii="Arial" w:hAnsi="Arial" w:cs="Arial"/>
          <w:sz w:val="24"/>
          <w:szCs w:val="24"/>
        </w:rPr>
        <w:t xml:space="preserve"> días hábiles que se poseían</w:t>
      </w:r>
      <w:r w:rsidR="00A64C4B">
        <w:rPr>
          <w:rFonts w:ascii="Arial" w:hAnsi="Arial" w:cs="Arial"/>
          <w:sz w:val="24"/>
          <w:szCs w:val="24"/>
        </w:rPr>
        <w:t>.</w:t>
      </w:r>
    </w:p>
    <w:p w:rsidR="005F7530" w:rsidRPr="00DF7866" w:rsidRDefault="005F753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701"/>
      </w:tblGrid>
      <w:tr w:rsidR="005F7530" w:rsidRPr="007035DE" w:rsidTr="005F7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5F7530" w:rsidRPr="007035DE" w:rsidRDefault="005F7530" w:rsidP="00DF7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35DE">
              <w:rPr>
                <w:rFonts w:ascii="Arial" w:hAnsi="Arial" w:cs="Arial"/>
                <w:sz w:val="20"/>
                <w:szCs w:val="20"/>
              </w:rPr>
              <w:t xml:space="preserve">TABLA No. </w:t>
            </w:r>
            <w:r w:rsidR="00D84B0C" w:rsidRPr="007035DE">
              <w:rPr>
                <w:rFonts w:ascii="Arial" w:hAnsi="Arial" w:cs="Arial"/>
                <w:sz w:val="20"/>
                <w:szCs w:val="20"/>
              </w:rPr>
              <w:t>11</w:t>
            </w:r>
            <w:r w:rsidR="00800F9C" w:rsidRPr="007035D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035DE">
              <w:rPr>
                <w:rFonts w:ascii="Arial" w:hAnsi="Arial" w:cs="Arial"/>
                <w:sz w:val="20"/>
                <w:szCs w:val="20"/>
              </w:rPr>
              <w:t xml:space="preserve"> TIEMPOS LIMITE Y PROMEDIO DE RESPUESTA</w:t>
            </w:r>
          </w:p>
        </w:tc>
      </w:tr>
      <w:tr w:rsidR="005F7530" w:rsidRPr="007035DE" w:rsidTr="005F7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F7530" w:rsidRPr="007035DE" w:rsidRDefault="005F7530" w:rsidP="00DF7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35D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212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F7530" w:rsidRPr="007035DE" w:rsidRDefault="005F7530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35D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PROMEDIO DIAS UTILIZADOS (HÁBILES)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F7530" w:rsidRPr="007035DE" w:rsidRDefault="005F7530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35D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MÁXIMO DE DIAS (HÁBILES)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F7530" w:rsidRPr="007035DE" w:rsidRDefault="005F7530" w:rsidP="00DF78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35D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PORCENTAJE DE EFICACIA</w:t>
            </w:r>
          </w:p>
        </w:tc>
      </w:tr>
      <w:tr w:rsidR="00EF6ACC" w:rsidRPr="007035DE" w:rsidTr="00800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DBE5F1" w:themeColor="accent1" w:themeTint="33"/>
            </w:tcBorders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2127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5,56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18,52</w:t>
            </w:r>
          </w:p>
        </w:tc>
      </w:tr>
      <w:tr w:rsidR="00EF6ACC" w:rsidRPr="007035DE" w:rsidTr="00800F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Derecho de petición de interés general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9,53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63,54</w:t>
            </w:r>
          </w:p>
        </w:tc>
      </w:tr>
      <w:tr w:rsidR="00EF6ACC" w:rsidRPr="007035DE" w:rsidTr="00800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Derecho de petición de interés particular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5,59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37,28</w:t>
            </w:r>
          </w:p>
        </w:tc>
      </w:tr>
      <w:tr w:rsidR="00EF6ACC" w:rsidRPr="007035DE" w:rsidTr="00800F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11,67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77,78</w:t>
            </w:r>
          </w:p>
        </w:tc>
      </w:tr>
      <w:tr w:rsidR="00EF6ACC" w:rsidRPr="007035DE" w:rsidTr="00800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  <w:r w:rsidR="00073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,00</w:t>
            </w:r>
          </w:p>
        </w:tc>
      </w:tr>
      <w:tr w:rsidR="00EF6ACC" w:rsidRPr="007035DE" w:rsidTr="00800F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5,21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52,08</w:t>
            </w:r>
          </w:p>
        </w:tc>
      </w:tr>
      <w:tr w:rsidR="00EF6ACC" w:rsidRPr="007035DE" w:rsidTr="00800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2127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4,37</w:t>
            </w:r>
          </w:p>
        </w:tc>
        <w:tc>
          <w:tcPr>
            <w:tcW w:w="1701" w:type="dxa"/>
            <w:noWrap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701" w:type="dxa"/>
            <w:vAlign w:val="center"/>
          </w:tcPr>
          <w:p w:rsidR="00EF6ACC" w:rsidRPr="005B4439" w:rsidRDefault="00EF6ACC" w:rsidP="00EF6A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43,72</w:t>
            </w:r>
          </w:p>
        </w:tc>
      </w:tr>
      <w:tr w:rsidR="00EF6ACC" w:rsidRPr="007035DE" w:rsidTr="005F75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:rsidR="00EF6ACC" w:rsidRPr="007035DE" w:rsidRDefault="00EF6ACC" w:rsidP="00EF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3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PROMEDIO TOTAL</w:t>
            </w:r>
          </w:p>
        </w:tc>
        <w:tc>
          <w:tcPr>
            <w:tcW w:w="2127" w:type="dxa"/>
            <w:noWrap/>
            <w:vAlign w:val="center"/>
          </w:tcPr>
          <w:p w:rsidR="00EF6ACC" w:rsidRPr="007035DE" w:rsidRDefault="0007397D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6,57</w:t>
            </w:r>
          </w:p>
        </w:tc>
        <w:tc>
          <w:tcPr>
            <w:tcW w:w="1701" w:type="dxa"/>
            <w:noWrap/>
            <w:vAlign w:val="center"/>
          </w:tcPr>
          <w:p w:rsidR="00EF6ACC" w:rsidRPr="007035DE" w:rsidRDefault="0007397D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15,71</w:t>
            </w:r>
          </w:p>
        </w:tc>
        <w:tc>
          <w:tcPr>
            <w:tcW w:w="1701" w:type="dxa"/>
            <w:noWrap/>
            <w:vAlign w:val="center"/>
          </w:tcPr>
          <w:p w:rsidR="00EF6ACC" w:rsidRPr="007035DE" w:rsidRDefault="007C6E32" w:rsidP="00EF6A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41,83</w:t>
            </w:r>
          </w:p>
        </w:tc>
      </w:tr>
    </w:tbl>
    <w:p w:rsidR="001D4875" w:rsidRDefault="001D4875" w:rsidP="001D48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1ED3">
        <w:rPr>
          <w:rFonts w:ascii="Arial" w:hAnsi="Arial" w:cs="Arial"/>
          <w:color w:val="000000" w:themeColor="text1"/>
          <w:sz w:val="20"/>
          <w:szCs w:val="20"/>
        </w:rPr>
        <w:t xml:space="preserve">Fuente: </w:t>
      </w:r>
      <w:r w:rsidRPr="00E81E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SDQS - </w:t>
      </w:r>
      <w:r w:rsidRPr="00E81ED3">
        <w:rPr>
          <w:rFonts w:ascii="Arial" w:hAnsi="Arial" w:cs="Arial"/>
          <w:color w:val="000000" w:themeColor="text1"/>
          <w:sz w:val="20"/>
          <w:szCs w:val="20"/>
        </w:rPr>
        <w:t>Servicio al Ciudadano</w:t>
      </w:r>
    </w:p>
    <w:p w:rsidR="00D578D2" w:rsidRPr="00DF7866" w:rsidRDefault="00D578D2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F9C" w:rsidRPr="00DF7866" w:rsidRDefault="00F44D80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2188210</wp:posOffset>
                </wp:positionV>
                <wp:extent cx="3790950" cy="276225"/>
                <wp:effectExtent l="0" t="0" r="19050" b="2857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76225"/>
                          <a:chOff x="0" y="0"/>
                          <a:chExt cx="3790950" cy="276225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09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477D" w:rsidRDefault="00700E93" w:rsidP="00F44D80">
                              <w:pPr>
                                <w:jc w:val="center"/>
                              </w:pPr>
                              <w:r>
                                <w:t xml:space="preserve">Porcentaje </w:t>
                              </w:r>
                              <w:r w:rsidR="00AE477D">
                                <w:t xml:space="preserve">Días Utilizados    </w:t>
                              </w:r>
                              <w:r w:rsidR="00F44D80">
                                <w:t xml:space="preserve">   </w:t>
                              </w:r>
                              <w:r>
                                <w:t xml:space="preserve">Porcentaje </w:t>
                              </w:r>
                              <w:r w:rsidR="00AE477D">
                                <w:t>D</w:t>
                              </w:r>
                              <w:r>
                                <w:t>í</w:t>
                              </w:r>
                              <w:r w:rsidR="00AE477D">
                                <w:t>as Ahorrados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142875" y="85725"/>
                            <a:ext cx="85725" cy="114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1885950" y="76200"/>
                            <a:ext cx="85725" cy="114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21" o:spid="_x0000_s1026" style="position:absolute;left:0;text-align:left;margin-left:0;margin-top:172.3pt;width:298.5pt;height:21.75pt;z-index:251662336;mso-position-horizontal:center;mso-position-horizontal-relative:page" coordsize="3790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3790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AE477D" w:rsidRDefault="00700E93" w:rsidP="00F44D80">
                        <w:pPr>
                          <w:jc w:val="center"/>
                        </w:pPr>
                        <w:r>
                          <w:t xml:space="preserve">Porcentaje </w:t>
                        </w:r>
                        <w:r w:rsidR="00AE477D">
                          <w:t xml:space="preserve">Días Utilizados    </w:t>
                        </w:r>
                        <w:r w:rsidR="00F44D80">
                          <w:t xml:space="preserve">   </w:t>
                        </w:r>
                        <w:r>
                          <w:t xml:space="preserve">Porcentaje </w:t>
                        </w:r>
                        <w:r w:rsidR="00AE477D">
                          <w:t>D</w:t>
                        </w:r>
                        <w:r>
                          <w:t>í</w:t>
                        </w:r>
                        <w:r w:rsidR="00AE477D">
                          <w:t>as Ahorrados</w:t>
                        </w:r>
                      </w:p>
                    </w:txbxContent>
                  </v:textbox>
                </v:shape>
                <v:rect id="Rectángulo 19" o:spid="_x0000_s1028" style="position:absolute;left:1428;top:857;width:85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Rectángulo 20" o:spid="_x0000_s1029" style="position:absolute;left:18859;top:762;width:85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rect>
                <w10:wrap anchorx="page"/>
              </v:group>
            </w:pict>
          </mc:Fallback>
        </mc:AlternateContent>
      </w:r>
      <w:r w:rsidR="00A64C4B">
        <w:rPr>
          <w:noProof/>
          <w:lang w:eastAsia="es-CO"/>
        </w:rPr>
        <w:drawing>
          <wp:inline distT="0" distB="0" distL="0" distR="0" wp14:anchorId="3DC8887C" wp14:editId="5128BF6F">
            <wp:extent cx="5972175" cy="2619375"/>
            <wp:effectExtent l="0" t="0" r="952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633400-FF33-490E-BFBF-2E95350B5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78D2" w:rsidRPr="007E2536" w:rsidRDefault="00D578D2" w:rsidP="00D578D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:rsidR="00A64C4B" w:rsidRPr="00DF7866" w:rsidRDefault="00A64C4B" w:rsidP="00A64C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866">
        <w:rPr>
          <w:rFonts w:ascii="Arial" w:hAnsi="Arial" w:cs="Arial"/>
          <w:sz w:val="24"/>
          <w:szCs w:val="24"/>
        </w:rPr>
        <w:lastRenderedPageBreak/>
        <w:t>En términos generales frente a las tipologías, podemos indicar que para el mes de</w:t>
      </w:r>
      <w:r>
        <w:rPr>
          <w:rFonts w:ascii="Arial" w:hAnsi="Arial" w:cs="Arial"/>
          <w:sz w:val="24"/>
          <w:szCs w:val="24"/>
        </w:rPr>
        <w:t xml:space="preserve"> enero </w:t>
      </w:r>
      <w:r w:rsidRPr="00DF7866">
        <w:rPr>
          <w:rFonts w:ascii="Arial" w:hAnsi="Arial" w:cs="Arial"/>
          <w:sz w:val="24"/>
          <w:szCs w:val="24"/>
        </w:rPr>
        <w:t xml:space="preserve">la entidad utilizo </w:t>
      </w:r>
      <w:r>
        <w:rPr>
          <w:rFonts w:ascii="Arial" w:hAnsi="Arial" w:cs="Arial"/>
          <w:sz w:val="24"/>
          <w:szCs w:val="24"/>
        </w:rPr>
        <w:t>6,57</w:t>
      </w:r>
      <w:r w:rsidRPr="00DF7866">
        <w:rPr>
          <w:rFonts w:ascii="Arial" w:hAnsi="Arial" w:cs="Arial"/>
          <w:sz w:val="24"/>
          <w:szCs w:val="24"/>
        </w:rPr>
        <w:t xml:space="preserve"> días hábiles promedio para dar respuesta a las </w:t>
      </w:r>
      <w:r>
        <w:rPr>
          <w:rFonts w:ascii="Arial" w:hAnsi="Arial" w:cs="Arial"/>
          <w:sz w:val="24"/>
          <w:szCs w:val="24"/>
        </w:rPr>
        <w:t>264</w:t>
      </w:r>
      <w:r w:rsidRPr="00DF7866">
        <w:rPr>
          <w:rFonts w:ascii="Arial" w:hAnsi="Arial" w:cs="Arial"/>
          <w:sz w:val="24"/>
          <w:szCs w:val="24"/>
        </w:rPr>
        <w:t xml:space="preserve"> PQRSD. Lo anterior representa una eficiencia del </w:t>
      </w:r>
      <w:r>
        <w:rPr>
          <w:rFonts w:ascii="Arial" w:hAnsi="Arial" w:cs="Arial"/>
          <w:sz w:val="24"/>
          <w:szCs w:val="24"/>
        </w:rPr>
        <w:t>58,71</w:t>
      </w:r>
      <w:r w:rsidRPr="00DF7866">
        <w:rPr>
          <w:rFonts w:ascii="Arial" w:hAnsi="Arial" w:cs="Arial"/>
          <w:sz w:val="24"/>
          <w:szCs w:val="24"/>
        </w:rPr>
        <w:t>%, como se puede ver en la</w:t>
      </w:r>
      <w:r w:rsidR="00D578D2">
        <w:rPr>
          <w:rFonts w:ascii="Arial" w:hAnsi="Arial" w:cs="Arial"/>
          <w:sz w:val="24"/>
          <w:szCs w:val="24"/>
        </w:rPr>
        <w:t xml:space="preserve"> anterior</w:t>
      </w:r>
      <w:r w:rsidRPr="00DF7866">
        <w:rPr>
          <w:rFonts w:ascii="Arial" w:hAnsi="Arial" w:cs="Arial"/>
          <w:sz w:val="24"/>
          <w:szCs w:val="24"/>
        </w:rPr>
        <w:t xml:space="preserve"> </w:t>
      </w:r>
      <w:r w:rsidR="00D578D2">
        <w:rPr>
          <w:rFonts w:ascii="Arial" w:hAnsi="Arial" w:cs="Arial"/>
          <w:sz w:val="24"/>
          <w:szCs w:val="24"/>
        </w:rPr>
        <w:t>g</w:t>
      </w:r>
      <w:r w:rsidRPr="00DF7866">
        <w:rPr>
          <w:rFonts w:ascii="Arial" w:hAnsi="Arial" w:cs="Arial"/>
          <w:sz w:val="24"/>
          <w:szCs w:val="24"/>
        </w:rPr>
        <w:t>ráfica</w:t>
      </w:r>
      <w:r w:rsidR="00D578D2">
        <w:rPr>
          <w:rFonts w:ascii="Arial" w:hAnsi="Arial" w:cs="Arial"/>
          <w:sz w:val="24"/>
          <w:szCs w:val="24"/>
        </w:rPr>
        <w:t xml:space="preserve"> (No. 8 Porcentaje de Días Utilizados)</w:t>
      </w:r>
      <w:r w:rsidRPr="00DF7866">
        <w:rPr>
          <w:rFonts w:ascii="Arial" w:hAnsi="Arial" w:cs="Arial"/>
          <w:sz w:val="24"/>
          <w:szCs w:val="24"/>
        </w:rPr>
        <w:t>.</w:t>
      </w:r>
    </w:p>
    <w:p w:rsidR="00800F9C" w:rsidRPr="00A64C4B" w:rsidRDefault="00800F9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F9C" w:rsidRPr="00DF7866" w:rsidRDefault="00800F9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 xml:space="preserve">La conclusión es que las </w:t>
      </w:r>
      <w:r w:rsidR="00831441">
        <w:rPr>
          <w:rFonts w:ascii="Arial" w:hAnsi="Arial" w:cs="Arial"/>
          <w:sz w:val="24"/>
          <w:szCs w:val="24"/>
          <w:lang w:val="es-ES"/>
        </w:rPr>
        <w:t xml:space="preserve">diez </w:t>
      </w:r>
      <w:r w:rsidRPr="00DF7866">
        <w:rPr>
          <w:rFonts w:ascii="Arial" w:hAnsi="Arial" w:cs="Arial"/>
          <w:sz w:val="24"/>
          <w:szCs w:val="24"/>
          <w:lang w:val="es-ES"/>
        </w:rPr>
        <w:t>(</w:t>
      </w:r>
      <w:r w:rsidR="00831441">
        <w:rPr>
          <w:rFonts w:ascii="Arial" w:hAnsi="Arial" w:cs="Arial"/>
          <w:sz w:val="24"/>
          <w:szCs w:val="24"/>
          <w:lang w:val="es-ES"/>
        </w:rPr>
        <w:t>10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) dependencias que dieron respuesta a las </w:t>
      </w:r>
      <w:r w:rsidR="00831441">
        <w:rPr>
          <w:rFonts w:ascii="Arial" w:hAnsi="Arial" w:cs="Arial"/>
          <w:sz w:val="24"/>
          <w:szCs w:val="24"/>
          <w:lang w:val="es-ES"/>
        </w:rPr>
        <w:t>264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PQRSD para el mes de </w:t>
      </w:r>
      <w:r w:rsidR="00831441">
        <w:rPr>
          <w:rFonts w:ascii="Arial" w:hAnsi="Arial" w:cs="Arial"/>
          <w:sz w:val="24"/>
          <w:szCs w:val="24"/>
          <w:lang w:val="es-ES"/>
        </w:rPr>
        <w:t>enero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, emplearon en promedio </w:t>
      </w:r>
      <w:r w:rsidR="00831441">
        <w:rPr>
          <w:rFonts w:ascii="Arial" w:hAnsi="Arial" w:cs="Arial"/>
          <w:sz w:val="24"/>
          <w:szCs w:val="24"/>
          <w:lang w:val="es-ES"/>
        </w:rPr>
        <w:t>6,57</w:t>
      </w:r>
      <w:r w:rsidRPr="00DF7866">
        <w:rPr>
          <w:rFonts w:ascii="Arial" w:hAnsi="Arial" w:cs="Arial"/>
          <w:sz w:val="24"/>
          <w:szCs w:val="24"/>
        </w:rPr>
        <w:t xml:space="preserve"> 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días hábiles, de los </w:t>
      </w:r>
      <w:r w:rsidR="00831441">
        <w:rPr>
          <w:rFonts w:ascii="Arial" w:hAnsi="Arial" w:cs="Arial"/>
          <w:sz w:val="24"/>
          <w:szCs w:val="24"/>
          <w:lang w:val="es-ES"/>
        </w:rPr>
        <w:t>15,71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promedio máximo que permite la Ley, permitiendo que se ahorraran en promedio </w:t>
      </w:r>
      <w:r w:rsidR="00831441">
        <w:rPr>
          <w:rFonts w:ascii="Arial" w:hAnsi="Arial" w:cs="Arial"/>
          <w:sz w:val="24"/>
          <w:szCs w:val="24"/>
          <w:lang w:val="es-ES"/>
        </w:rPr>
        <w:t>9,14</w:t>
      </w:r>
      <w:r w:rsidRPr="00DF7866">
        <w:rPr>
          <w:rFonts w:ascii="Arial" w:hAnsi="Arial" w:cs="Arial"/>
          <w:sz w:val="24"/>
          <w:szCs w:val="24"/>
          <w:lang w:val="es-ES"/>
        </w:rPr>
        <w:t xml:space="preserve"> días hábiles.</w:t>
      </w:r>
    </w:p>
    <w:p w:rsidR="003F19E9" w:rsidRDefault="003F19E9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12824" w:rsidRPr="00C908B0" w:rsidRDefault="005C7731" w:rsidP="008128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último, e</w:t>
      </w:r>
      <w:r w:rsidR="00812824" w:rsidRPr="00C908B0">
        <w:rPr>
          <w:rFonts w:ascii="Arial" w:hAnsi="Arial" w:cs="Arial"/>
          <w:lang w:val="es-ES"/>
        </w:rPr>
        <w:t xml:space="preserve">s de resaltar la importancia del seguimiento </w:t>
      </w:r>
      <w:r w:rsidR="00812824">
        <w:rPr>
          <w:rFonts w:ascii="Arial" w:hAnsi="Arial" w:cs="Arial"/>
          <w:lang w:val="es-ES"/>
        </w:rPr>
        <w:t xml:space="preserve">que realiza Servicio al Ciudadano a las PQRSD, por medio del aplicativo denominado alarmas tempranas, donde se reporta de manera semanal todos </w:t>
      </w:r>
      <w:r w:rsidR="00812824" w:rsidRPr="00262BC0">
        <w:rPr>
          <w:rFonts w:ascii="Arial" w:hAnsi="Arial" w:cs="Arial"/>
          <w:lang w:val="es-ES"/>
        </w:rPr>
        <w:t xml:space="preserve">los requerimientos que tienen todas las dependencias de C.V.P., como método de prevención para el cierre de requerimientos dentro del tiempo </w:t>
      </w:r>
      <w:r w:rsidR="00812824">
        <w:rPr>
          <w:rFonts w:ascii="Arial" w:hAnsi="Arial" w:cs="Arial"/>
          <w:lang w:val="es-ES"/>
        </w:rPr>
        <w:t>establecido por la Ley</w:t>
      </w:r>
      <w:r w:rsidR="00812824" w:rsidRPr="00262BC0">
        <w:rPr>
          <w:rFonts w:ascii="Arial" w:hAnsi="Arial" w:cs="Arial"/>
          <w:lang w:val="es-ES"/>
        </w:rPr>
        <w:t xml:space="preserve">. </w:t>
      </w:r>
      <w:r w:rsidR="00812824">
        <w:rPr>
          <w:rFonts w:ascii="Arial" w:hAnsi="Arial" w:cs="Arial"/>
          <w:lang w:val="es-ES"/>
        </w:rPr>
        <w:t>Este reporte se envía</w:t>
      </w:r>
      <w:r w:rsidR="00812824" w:rsidRPr="00262BC0">
        <w:rPr>
          <w:rFonts w:ascii="Arial" w:hAnsi="Arial" w:cs="Arial"/>
          <w:lang w:val="es-ES"/>
        </w:rPr>
        <w:t xml:space="preserve"> a </w:t>
      </w:r>
      <w:r w:rsidR="00812824">
        <w:rPr>
          <w:rFonts w:ascii="Arial" w:hAnsi="Arial" w:cs="Arial"/>
          <w:lang w:val="es-ES"/>
        </w:rPr>
        <w:t xml:space="preserve">cada </w:t>
      </w:r>
      <w:r w:rsidR="00812824" w:rsidRPr="00262BC0">
        <w:rPr>
          <w:rFonts w:ascii="Arial" w:hAnsi="Arial" w:cs="Arial"/>
          <w:lang w:val="es-ES"/>
        </w:rPr>
        <w:t>dependencia</w:t>
      </w:r>
      <w:r w:rsidR="00812824">
        <w:rPr>
          <w:rFonts w:ascii="Arial" w:hAnsi="Arial" w:cs="Arial"/>
          <w:lang w:val="es-ES"/>
        </w:rPr>
        <w:t xml:space="preserve"> de la entidad.</w:t>
      </w:r>
      <w:r w:rsidR="00812824" w:rsidRPr="00262BC0">
        <w:rPr>
          <w:rFonts w:ascii="Arial" w:hAnsi="Arial" w:cs="Arial"/>
          <w:lang w:val="es-ES"/>
        </w:rPr>
        <w:t xml:space="preserve"> </w:t>
      </w:r>
    </w:p>
    <w:p w:rsidR="0017680B" w:rsidRDefault="0017680B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17680B" w:rsidRPr="00DF7866" w:rsidRDefault="0017680B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00F9C" w:rsidRPr="00DF7866" w:rsidRDefault="00800F9C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00F9C" w:rsidRPr="00DF7866" w:rsidRDefault="00800F9C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00F9C" w:rsidRPr="00DF7866" w:rsidRDefault="00831441" w:rsidP="00DF78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CARLOS FELIPE GAMBOA GAMBOA</w:t>
      </w:r>
    </w:p>
    <w:p w:rsidR="00800F9C" w:rsidRPr="00DF7866" w:rsidRDefault="00800F9C" w:rsidP="00DF78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Director de Gestión Corporativa y CID</w:t>
      </w:r>
    </w:p>
    <w:p w:rsidR="00800F9C" w:rsidRPr="00DF7866" w:rsidRDefault="00800F9C" w:rsidP="00DF786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A7D0B" w:rsidRPr="007E2536" w:rsidRDefault="00831441" w:rsidP="005A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 w:rsidR="005A7D0B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</w:t>
      </w:r>
      <w:r w:rsidR="005A7D0B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 w:rsidR="005A7D0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– Profesional Especializado grado 222-05</w:t>
      </w:r>
    </w:p>
    <w:p w:rsidR="00831441" w:rsidRDefault="00831441" w:rsidP="005A7D0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831441" w:rsidRPr="007E2536" w:rsidRDefault="00831441" w:rsidP="00831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5A7D0B">
        <w:rPr>
          <w:sz w:val="18"/>
          <w:szCs w:val="18"/>
          <w:lang w:val="es-ES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800F9C" w:rsidRPr="00DF7866" w:rsidRDefault="00800F9C" w:rsidP="008314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00F9C" w:rsidRPr="00DF7866" w:rsidSect="00900DA5">
      <w:headerReference w:type="default" r:id="rId17"/>
      <w:footerReference w:type="default" r:id="rId18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A9" w:rsidRDefault="008034A9" w:rsidP="000C58E8">
      <w:pPr>
        <w:spacing w:after="0" w:line="240" w:lineRule="auto"/>
      </w:pPr>
      <w:r>
        <w:separator/>
      </w:r>
    </w:p>
  </w:endnote>
  <w:endnote w:type="continuationSeparator" w:id="0">
    <w:p w:rsidR="008034A9" w:rsidRDefault="008034A9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9A" w:rsidRDefault="00214E9A" w:rsidP="00921972">
    <w:pPr>
      <w:pStyle w:val="Piedepgina"/>
      <w:ind w:left="-1701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E9A" w:rsidRPr="00643927" w:rsidRDefault="00214E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:rsidR="00214E9A" w:rsidRPr="00643927" w:rsidRDefault="00214E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214E9A" w:rsidRPr="00643927" w:rsidRDefault="00214E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30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:rsidR="00214E9A" w:rsidRPr="00F70E87" w:rsidRDefault="00214E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30" style="position:absolute;left:0;text-align:left;margin-left:-2.55pt;margin-top:2.95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214E9A" w:rsidRPr="00643927" w:rsidRDefault="00214E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:rsidR="00214E9A" w:rsidRPr="00643927" w:rsidRDefault="00214E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:rsidR="00214E9A" w:rsidRPr="00643927" w:rsidRDefault="00214E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30</w:t>
                    </w:r>
                    <w:r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:rsidR="00214E9A" w:rsidRPr="00F70E87" w:rsidRDefault="00214E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2AA87000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A9" w:rsidRDefault="008034A9" w:rsidP="000C58E8">
      <w:pPr>
        <w:spacing w:after="0" w:line="240" w:lineRule="auto"/>
      </w:pPr>
      <w:r>
        <w:separator/>
      </w:r>
    </w:p>
  </w:footnote>
  <w:footnote w:type="continuationSeparator" w:id="0">
    <w:p w:rsidR="008034A9" w:rsidRDefault="008034A9" w:rsidP="000C58E8">
      <w:pPr>
        <w:spacing w:after="0" w:line="240" w:lineRule="auto"/>
      </w:pPr>
      <w:r>
        <w:continuationSeparator/>
      </w:r>
    </w:p>
  </w:footnote>
  <w:footnote w:id="1">
    <w:p w:rsidR="00214E9A" w:rsidRDefault="00214E9A" w:rsidP="00FE4207">
      <w:pPr>
        <w:pStyle w:val="Textonotapie"/>
      </w:pPr>
      <w:r>
        <w:rPr>
          <w:rStyle w:val="Refdenotaalpie"/>
        </w:rPr>
        <w:footnoteRef/>
      </w:r>
      <w:r>
        <w:t xml:space="preserve"> Aquí se relacionan las PQRSD que se presentaron en diciembre y que tenían fecha imperativa de solución en el mismo mes. </w:t>
      </w:r>
    </w:p>
  </w:footnote>
  <w:footnote w:id="2">
    <w:p w:rsidR="00214E9A" w:rsidRDefault="00214E9A" w:rsidP="00FE4207">
      <w:pPr>
        <w:pStyle w:val="Textonotapie"/>
      </w:pPr>
      <w:r>
        <w:rPr>
          <w:rStyle w:val="Refdenotaalpie"/>
        </w:rPr>
        <w:footnoteRef/>
      </w:r>
      <w:r>
        <w:t xml:space="preserve"> Aquí se relacionan las PQRSD que se solucionaron en el mismo mes de presentación. </w:t>
      </w:r>
    </w:p>
  </w:footnote>
  <w:footnote w:id="3">
    <w:p w:rsidR="00B45EBE" w:rsidRDefault="00B45EBE" w:rsidP="00B45EB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4D5C">
        <w:rPr>
          <w:sz w:val="18"/>
          <w:szCs w:val="18"/>
        </w:rPr>
        <w:t xml:space="preserve">Sigla por el tipo de Tipología: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C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eastAsia="es-CO"/>
        </w:rPr>
        <w:t>–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Consulta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DAC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- Denuncia por actos de corrupción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; DPIG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- Derecho de petición de interés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 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>general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DPIP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- Derecho de petición de interés particular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F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eastAsia="es-CO"/>
        </w:rPr>
        <w:t>–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Felicitación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Q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eastAsia="es-CO"/>
        </w:rPr>
        <w:t>–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Queja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R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eastAsia="es-CO"/>
        </w:rPr>
        <w:t>–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Reclamo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SAI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- Solicitud de acceso a la información</w:t>
      </w: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; </w:t>
      </w:r>
      <w:r w:rsidRPr="00087F94">
        <w:rPr>
          <w:rFonts w:eastAsia="Times New Roman" w:cs="Calibri"/>
          <w:b/>
          <w:color w:val="000000"/>
          <w:sz w:val="18"/>
          <w:szCs w:val="18"/>
          <w:lang w:eastAsia="es-CO"/>
        </w:rPr>
        <w:t>SC</w:t>
      </w:r>
      <w:r w:rsidRPr="000C4D5C">
        <w:rPr>
          <w:rFonts w:eastAsia="Times New Roman" w:cs="Calibri"/>
          <w:color w:val="000000"/>
          <w:sz w:val="18"/>
          <w:szCs w:val="18"/>
          <w:lang w:eastAsia="es-CO"/>
        </w:rPr>
        <w:t xml:space="preserve"> - Solicitud de copia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9A" w:rsidRPr="00177920" w:rsidRDefault="00214E9A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13" name="Imagen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4E9A" w:rsidRDefault="00214E9A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2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22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17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1"/>
  </w:num>
  <w:num w:numId="5">
    <w:abstractNumId w:val="6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3"/>
  </w:num>
  <w:num w:numId="11">
    <w:abstractNumId w:val="16"/>
  </w:num>
  <w:num w:numId="12">
    <w:abstractNumId w:val="16"/>
  </w:num>
  <w:num w:numId="13">
    <w:abstractNumId w:val="22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3"/>
  </w:num>
  <w:num w:numId="19">
    <w:abstractNumId w:val="9"/>
  </w:num>
  <w:num w:numId="20">
    <w:abstractNumId w:val="20"/>
  </w:num>
  <w:num w:numId="21">
    <w:abstractNumId w:val="18"/>
  </w:num>
  <w:num w:numId="22">
    <w:abstractNumId w:val="12"/>
  </w:num>
  <w:num w:numId="23">
    <w:abstractNumId w:val="17"/>
  </w:num>
  <w:num w:numId="24">
    <w:abstractNumId w:val="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06B08"/>
    <w:rsid w:val="00007BD8"/>
    <w:rsid w:val="00007FF5"/>
    <w:rsid w:val="000100EE"/>
    <w:rsid w:val="00011BF1"/>
    <w:rsid w:val="000256D8"/>
    <w:rsid w:val="00026144"/>
    <w:rsid w:val="00031F3B"/>
    <w:rsid w:val="00035D7C"/>
    <w:rsid w:val="00035E4F"/>
    <w:rsid w:val="00036D40"/>
    <w:rsid w:val="0004530E"/>
    <w:rsid w:val="00051E81"/>
    <w:rsid w:val="000550CF"/>
    <w:rsid w:val="00057E76"/>
    <w:rsid w:val="00066096"/>
    <w:rsid w:val="00066D74"/>
    <w:rsid w:val="000726CB"/>
    <w:rsid w:val="000733AB"/>
    <w:rsid w:val="0007397D"/>
    <w:rsid w:val="000766A6"/>
    <w:rsid w:val="00076C23"/>
    <w:rsid w:val="00090D09"/>
    <w:rsid w:val="0009208C"/>
    <w:rsid w:val="000975A0"/>
    <w:rsid w:val="000A06D5"/>
    <w:rsid w:val="000A075F"/>
    <w:rsid w:val="000B1360"/>
    <w:rsid w:val="000C02DD"/>
    <w:rsid w:val="000C4A79"/>
    <w:rsid w:val="000C58E8"/>
    <w:rsid w:val="000C606D"/>
    <w:rsid w:val="000D0403"/>
    <w:rsid w:val="000D0F4C"/>
    <w:rsid w:val="000D26FB"/>
    <w:rsid w:val="000D2C87"/>
    <w:rsid w:val="000D72BC"/>
    <w:rsid w:val="000E1098"/>
    <w:rsid w:val="000E2C4E"/>
    <w:rsid w:val="000E41F2"/>
    <w:rsid w:val="000E6668"/>
    <w:rsid w:val="000E6F99"/>
    <w:rsid w:val="000F2902"/>
    <w:rsid w:val="000F39D9"/>
    <w:rsid w:val="001011D2"/>
    <w:rsid w:val="0010585B"/>
    <w:rsid w:val="001060E9"/>
    <w:rsid w:val="00106A30"/>
    <w:rsid w:val="00125758"/>
    <w:rsid w:val="001320FA"/>
    <w:rsid w:val="00132855"/>
    <w:rsid w:val="00141A69"/>
    <w:rsid w:val="00147345"/>
    <w:rsid w:val="0015130E"/>
    <w:rsid w:val="00152C68"/>
    <w:rsid w:val="00154D0A"/>
    <w:rsid w:val="00154E90"/>
    <w:rsid w:val="00156B84"/>
    <w:rsid w:val="00164AA5"/>
    <w:rsid w:val="00165E10"/>
    <w:rsid w:val="001702D1"/>
    <w:rsid w:val="00170F7F"/>
    <w:rsid w:val="00171602"/>
    <w:rsid w:val="0017680B"/>
    <w:rsid w:val="001775AA"/>
    <w:rsid w:val="00177920"/>
    <w:rsid w:val="0018167E"/>
    <w:rsid w:val="0018498E"/>
    <w:rsid w:val="00186BE7"/>
    <w:rsid w:val="00190522"/>
    <w:rsid w:val="0019480F"/>
    <w:rsid w:val="001964B7"/>
    <w:rsid w:val="001A0F99"/>
    <w:rsid w:val="001A17FE"/>
    <w:rsid w:val="001B3217"/>
    <w:rsid w:val="001B78D3"/>
    <w:rsid w:val="001C0358"/>
    <w:rsid w:val="001C59BC"/>
    <w:rsid w:val="001D2223"/>
    <w:rsid w:val="001D2790"/>
    <w:rsid w:val="001D4013"/>
    <w:rsid w:val="001D4875"/>
    <w:rsid w:val="001D5963"/>
    <w:rsid w:val="001E0FAD"/>
    <w:rsid w:val="001E3E1F"/>
    <w:rsid w:val="001F0DDB"/>
    <w:rsid w:val="001F58C2"/>
    <w:rsid w:val="001F796E"/>
    <w:rsid w:val="00201978"/>
    <w:rsid w:val="00201ECE"/>
    <w:rsid w:val="002034E3"/>
    <w:rsid w:val="002068B9"/>
    <w:rsid w:val="00210EEB"/>
    <w:rsid w:val="00212507"/>
    <w:rsid w:val="00214E9A"/>
    <w:rsid w:val="00216F96"/>
    <w:rsid w:val="00221395"/>
    <w:rsid w:val="00221BD1"/>
    <w:rsid w:val="00221EC5"/>
    <w:rsid w:val="00241A63"/>
    <w:rsid w:val="002435D2"/>
    <w:rsid w:val="002475BD"/>
    <w:rsid w:val="00252E88"/>
    <w:rsid w:val="00255FC6"/>
    <w:rsid w:val="002578D3"/>
    <w:rsid w:val="00262D83"/>
    <w:rsid w:val="00275724"/>
    <w:rsid w:val="0027777A"/>
    <w:rsid w:val="002839D2"/>
    <w:rsid w:val="00283A9D"/>
    <w:rsid w:val="00285DCB"/>
    <w:rsid w:val="00291721"/>
    <w:rsid w:val="002971AA"/>
    <w:rsid w:val="002973C9"/>
    <w:rsid w:val="002A4276"/>
    <w:rsid w:val="002A4E15"/>
    <w:rsid w:val="002A568E"/>
    <w:rsid w:val="002B08B0"/>
    <w:rsid w:val="002B2142"/>
    <w:rsid w:val="002C1CA7"/>
    <w:rsid w:val="002C67B6"/>
    <w:rsid w:val="002D3AD4"/>
    <w:rsid w:val="002E36D4"/>
    <w:rsid w:val="002F5175"/>
    <w:rsid w:val="002F59A8"/>
    <w:rsid w:val="003000D6"/>
    <w:rsid w:val="0030196B"/>
    <w:rsid w:val="00303675"/>
    <w:rsid w:val="00315AA0"/>
    <w:rsid w:val="003179AA"/>
    <w:rsid w:val="0033080A"/>
    <w:rsid w:val="0033099A"/>
    <w:rsid w:val="003421B7"/>
    <w:rsid w:val="003423B1"/>
    <w:rsid w:val="00342842"/>
    <w:rsid w:val="00342FE4"/>
    <w:rsid w:val="003518DA"/>
    <w:rsid w:val="00352B19"/>
    <w:rsid w:val="00353AAA"/>
    <w:rsid w:val="0035622E"/>
    <w:rsid w:val="00370A51"/>
    <w:rsid w:val="00371C72"/>
    <w:rsid w:val="0037381B"/>
    <w:rsid w:val="0037431F"/>
    <w:rsid w:val="00380632"/>
    <w:rsid w:val="00381458"/>
    <w:rsid w:val="00383812"/>
    <w:rsid w:val="00394D55"/>
    <w:rsid w:val="003962E2"/>
    <w:rsid w:val="0039692B"/>
    <w:rsid w:val="00397370"/>
    <w:rsid w:val="003A0989"/>
    <w:rsid w:val="003A12CE"/>
    <w:rsid w:val="003B0AEA"/>
    <w:rsid w:val="003B0CEE"/>
    <w:rsid w:val="003C1AAE"/>
    <w:rsid w:val="003C5CA8"/>
    <w:rsid w:val="003C5F0D"/>
    <w:rsid w:val="003D08FF"/>
    <w:rsid w:val="003D1407"/>
    <w:rsid w:val="003D745B"/>
    <w:rsid w:val="003F19E9"/>
    <w:rsid w:val="003F5A66"/>
    <w:rsid w:val="003F5BED"/>
    <w:rsid w:val="003F6965"/>
    <w:rsid w:val="00405E5A"/>
    <w:rsid w:val="004108D1"/>
    <w:rsid w:val="00412014"/>
    <w:rsid w:val="0042042B"/>
    <w:rsid w:val="0042440B"/>
    <w:rsid w:val="00426011"/>
    <w:rsid w:val="0042751B"/>
    <w:rsid w:val="00427F6F"/>
    <w:rsid w:val="00432EBC"/>
    <w:rsid w:val="004342AE"/>
    <w:rsid w:val="00440B07"/>
    <w:rsid w:val="00454A74"/>
    <w:rsid w:val="004551D0"/>
    <w:rsid w:val="00460C39"/>
    <w:rsid w:val="0046461C"/>
    <w:rsid w:val="0046569C"/>
    <w:rsid w:val="00473324"/>
    <w:rsid w:val="00473860"/>
    <w:rsid w:val="00481A67"/>
    <w:rsid w:val="0048518B"/>
    <w:rsid w:val="004861E6"/>
    <w:rsid w:val="004913B1"/>
    <w:rsid w:val="004A1EB0"/>
    <w:rsid w:val="004A3FCC"/>
    <w:rsid w:val="004A4C91"/>
    <w:rsid w:val="004A6B08"/>
    <w:rsid w:val="004A6C5B"/>
    <w:rsid w:val="004A6F8F"/>
    <w:rsid w:val="004A779E"/>
    <w:rsid w:val="004B4911"/>
    <w:rsid w:val="004C1961"/>
    <w:rsid w:val="004C296D"/>
    <w:rsid w:val="004C4CCE"/>
    <w:rsid w:val="004D031B"/>
    <w:rsid w:val="004D1B2E"/>
    <w:rsid w:val="004D5A43"/>
    <w:rsid w:val="004D7AA8"/>
    <w:rsid w:val="004E2C24"/>
    <w:rsid w:val="004E316A"/>
    <w:rsid w:val="004E4D52"/>
    <w:rsid w:val="004E7B20"/>
    <w:rsid w:val="004F1698"/>
    <w:rsid w:val="004F3019"/>
    <w:rsid w:val="004F5E67"/>
    <w:rsid w:val="004F7E45"/>
    <w:rsid w:val="00510084"/>
    <w:rsid w:val="0051094B"/>
    <w:rsid w:val="0051358C"/>
    <w:rsid w:val="00522000"/>
    <w:rsid w:val="00530838"/>
    <w:rsid w:val="00532A3D"/>
    <w:rsid w:val="00533E16"/>
    <w:rsid w:val="00544633"/>
    <w:rsid w:val="005507CC"/>
    <w:rsid w:val="005535B7"/>
    <w:rsid w:val="005546AF"/>
    <w:rsid w:val="0055724D"/>
    <w:rsid w:val="00562AC5"/>
    <w:rsid w:val="00563750"/>
    <w:rsid w:val="005760CE"/>
    <w:rsid w:val="00581502"/>
    <w:rsid w:val="00582F4E"/>
    <w:rsid w:val="0058459B"/>
    <w:rsid w:val="00584C29"/>
    <w:rsid w:val="00591CD8"/>
    <w:rsid w:val="00595E80"/>
    <w:rsid w:val="00597164"/>
    <w:rsid w:val="005A0FEC"/>
    <w:rsid w:val="005A298E"/>
    <w:rsid w:val="005A328F"/>
    <w:rsid w:val="005A36CF"/>
    <w:rsid w:val="005A7D0B"/>
    <w:rsid w:val="005A7F25"/>
    <w:rsid w:val="005B2738"/>
    <w:rsid w:val="005B5075"/>
    <w:rsid w:val="005B70B5"/>
    <w:rsid w:val="005C7731"/>
    <w:rsid w:val="005D6B51"/>
    <w:rsid w:val="005E2E2C"/>
    <w:rsid w:val="005E38C5"/>
    <w:rsid w:val="005E3FD3"/>
    <w:rsid w:val="005E637C"/>
    <w:rsid w:val="005E7BD8"/>
    <w:rsid w:val="005F1681"/>
    <w:rsid w:val="005F1E48"/>
    <w:rsid w:val="005F286C"/>
    <w:rsid w:val="005F7530"/>
    <w:rsid w:val="00602298"/>
    <w:rsid w:val="00602480"/>
    <w:rsid w:val="00603917"/>
    <w:rsid w:val="00603B69"/>
    <w:rsid w:val="00607526"/>
    <w:rsid w:val="00615698"/>
    <w:rsid w:val="00616D12"/>
    <w:rsid w:val="00616D89"/>
    <w:rsid w:val="00617956"/>
    <w:rsid w:val="006315FF"/>
    <w:rsid w:val="00635DA8"/>
    <w:rsid w:val="0063656D"/>
    <w:rsid w:val="006430E4"/>
    <w:rsid w:val="00643927"/>
    <w:rsid w:val="00645322"/>
    <w:rsid w:val="00646303"/>
    <w:rsid w:val="00661079"/>
    <w:rsid w:val="006639DA"/>
    <w:rsid w:val="00663FC5"/>
    <w:rsid w:val="00664218"/>
    <w:rsid w:val="006647D5"/>
    <w:rsid w:val="006726D3"/>
    <w:rsid w:val="00672D2D"/>
    <w:rsid w:val="006830D2"/>
    <w:rsid w:val="0068406C"/>
    <w:rsid w:val="00694530"/>
    <w:rsid w:val="006A1ED2"/>
    <w:rsid w:val="006B104C"/>
    <w:rsid w:val="006B1487"/>
    <w:rsid w:val="006B343F"/>
    <w:rsid w:val="006B355B"/>
    <w:rsid w:val="006C09AA"/>
    <w:rsid w:val="006C4A9E"/>
    <w:rsid w:val="006C71E6"/>
    <w:rsid w:val="006D5792"/>
    <w:rsid w:val="006D7AC5"/>
    <w:rsid w:val="006E014C"/>
    <w:rsid w:val="006E42C0"/>
    <w:rsid w:val="006E54C6"/>
    <w:rsid w:val="006E7E39"/>
    <w:rsid w:val="006F5219"/>
    <w:rsid w:val="00700E93"/>
    <w:rsid w:val="007035DE"/>
    <w:rsid w:val="00711BE8"/>
    <w:rsid w:val="007155A9"/>
    <w:rsid w:val="007217C3"/>
    <w:rsid w:val="00722FE8"/>
    <w:rsid w:val="00724128"/>
    <w:rsid w:val="00725BD5"/>
    <w:rsid w:val="007375DE"/>
    <w:rsid w:val="00744EFC"/>
    <w:rsid w:val="0074583E"/>
    <w:rsid w:val="00745B33"/>
    <w:rsid w:val="00757B76"/>
    <w:rsid w:val="00762049"/>
    <w:rsid w:val="0076308E"/>
    <w:rsid w:val="00772C02"/>
    <w:rsid w:val="00776343"/>
    <w:rsid w:val="00783C4F"/>
    <w:rsid w:val="0078544D"/>
    <w:rsid w:val="0078694A"/>
    <w:rsid w:val="007A0D8E"/>
    <w:rsid w:val="007A2629"/>
    <w:rsid w:val="007A5F7D"/>
    <w:rsid w:val="007B3415"/>
    <w:rsid w:val="007B5930"/>
    <w:rsid w:val="007C1306"/>
    <w:rsid w:val="007C1753"/>
    <w:rsid w:val="007C24CD"/>
    <w:rsid w:val="007C5C79"/>
    <w:rsid w:val="007C6E32"/>
    <w:rsid w:val="007D1F2E"/>
    <w:rsid w:val="007D3D65"/>
    <w:rsid w:val="007D4E78"/>
    <w:rsid w:val="007E046B"/>
    <w:rsid w:val="007E1C6F"/>
    <w:rsid w:val="007F3BA4"/>
    <w:rsid w:val="007F62AA"/>
    <w:rsid w:val="00800F9C"/>
    <w:rsid w:val="008034A9"/>
    <w:rsid w:val="0081152E"/>
    <w:rsid w:val="00812824"/>
    <w:rsid w:val="00813460"/>
    <w:rsid w:val="00814DD4"/>
    <w:rsid w:val="00815D7B"/>
    <w:rsid w:val="00821B6D"/>
    <w:rsid w:val="008236D5"/>
    <w:rsid w:val="00825DB4"/>
    <w:rsid w:val="00831441"/>
    <w:rsid w:val="00836459"/>
    <w:rsid w:val="00836BFB"/>
    <w:rsid w:val="00837FA8"/>
    <w:rsid w:val="00843209"/>
    <w:rsid w:val="0086028B"/>
    <w:rsid w:val="0086092B"/>
    <w:rsid w:val="00861690"/>
    <w:rsid w:val="008728C6"/>
    <w:rsid w:val="00877678"/>
    <w:rsid w:val="00877EAB"/>
    <w:rsid w:val="00880F14"/>
    <w:rsid w:val="008935D8"/>
    <w:rsid w:val="008955ED"/>
    <w:rsid w:val="00897924"/>
    <w:rsid w:val="008A3C5B"/>
    <w:rsid w:val="008A5901"/>
    <w:rsid w:val="008B25AC"/>
    <w:rsid w:val="008B3700"/>
    <w:rsid w:val="008B38A3"/>
    <w:rsid w:val="008B4010"/>
    <w:rsid w:val="008B7F40"/>
    <w:rsid w:val="008C7779"/>
    <w:rsid w:val="008D79DA"/>
    <w:rsid w:val="008F0D87"/>
    <w:rsid w:val="008F12B2"/>
    <w:rsid w:val="00900DA5"/>
    <w:rsid w:val="0090115F"/>
    <w:rsid w:val="00907D1F"/>
    <w:rsid w:val="0091298D"/>
    <w:rsid w:val="00921972"/>
    <w:rsid w:val="00923EA5"/>
    <w:rsid w:val="0093122C"/>
    <w:rsid w:val="00932CD4"/>
    <w:rsid w:val="00933218"/>
    <w:rsid w:val="00933B84"/>
    <w:rsid w:val="00935825"/>
    <w:rsid w:val="009404EF"/>
    <w:rsid w:val="00941E95"/>
    <w:rsid w:val="009458B3"/>
    <w:rsid w:val="009469F1"/>
    <w:rsid w:val="009554B9"/>
    <w:rsid w:val="00957CC7"/>
    <w:rsid w:val="00965B0D"/>
    <w:rsid w:val="009732B4"/>
    <w:rsid w:val="009750ED"/>
    <w:rsid w:val="00977C1F"/>
    <w:rsid w:val="00991B91"/>
    <w:rsid w:val="00994813"/>
    <w:rsid w:val="009B5542"/>
    <w:rsid w:val="009C38D8"/>
    <w:rsid w:val="009D0347"/>
    <w:rsid w:val="009D10D4"/>
    <w:rsid w:val="009D165F"/>
    <w:rsid w:val="009D3E17"/>
    <w:rsid w:val="009D4231"/>
    <w:rsid w:val="009E179F"/>
    <w:rsid w:val="009E6B33"/>
    <w:rsid w:val="009F3766"/>
    <w:rsid w:val="009F43CC"/>
    <w:rsid w:val="009F5967"/>
    <w:rsid w:val="00A04F92"/>
    <w:rsid w:val="00A050E9"/>
    <w:rsid w:val="00A107A4"/>
    <w:rsid w:val="00A1277C"/>
    <w:rsid w:val="00A14745"/>
    <w:rsid w:val="00A149DF"/>
    <w:rsid w:val="00A17A5A"/>
    <w:rsid w:val="00A2521B"/>
    <w:rsid w:val="00A27826"/>
    <w:rsid w:val="00A32AF5"/>
    <w:rsid w:val="00A35406"/>
    <w:rsid w:val="00A43601"/>
    <w:rsid w:val="00A55294"/>
    <w:rsid w:val="00A640A4"/>
    <w:rsid w:val="00A64C4B"/>
    <w:rsid w:val="00A67209"/>
    <w:rsid w:val="00A77DC7"/>
    <w:rsid w:val="00A8156E"/>
    <w:rsid w:val="00A8580A"/>
    <w:rsid w:val="00A86455"/>
    <w:rsid w:val="00A872A0"/>
    <w:rsid w:val="00A87CB6"/>
    <w:rsid w:val="00A91671"/>
    <w:rsid w:val="00A9354A"/>
    <w:rsid w:val="00A93F12"/>
    <w:rsid w:val="00A9451B"/>
    <w:rsid w:val="00A95B08"/>
    <w:rsid w:val="00A9645E"/>
    <w:rsid w:val="00A9707D"/>
    <w:rsid w:val="00AA0A31"/>
    <w:rsid w:val="00AA1040"/>
    <w:rsid w:val="00AA1E28"/>
    <w:rsid w:val="00AA6E73"/>
    <w:rsid w:val="00AC18F8"/>
    <w:rsid w:val="00AC2E1A"/>
    <w:rsid w:val="00AC347A"/>
    <w:rsid w:val="00AC4452"/>
    <w:rsid w:val="00AC4489"/>
    <w:rsid w:val="00AC7490"/>
    <w:rsid w:val="00AD5909"/>
    <w:rsid w:val="00AD5C23"/>
    <w:rsid w:val="00AE477D"/>
    <w:rsid w:val="00AE7132"/>
    <w:rsid w:val="00AE7B5D"/>
    <w:rsid w:val="00AF5FE5"/>
    <w:rsid w:val="00AF6D06"/>
    <w:rsid w:val="00B05A57"/>
    <w:rsid w:val="00B0645E"/>
    <w:rsid w:val="00B12479"/>
    <w:rsid w:val="00B17EF6"/>
    <w:rsid w:val="00B25184"/>
    <w:rsid w:val="00B26CAF"/>
    <w:rsid w:val="00B31DA5"/>
    <w:rsid w:val="00B329B5"/>
    <w:rsid w:val="00B34216"/>
    <w:rsid w:val="00B430CB"/>
    <w:rsid w:val="00B44935"/>
    <w:rsid w:val="00B45EBE"/>
    <w:rsid w:val="00B46ACA"/>
    <w:rsid w:val="00B47F05"/>
    <w:rsid w:val="00B50619"/>
    <w:rsid w:val="00B6646F"/>
    <w:rsid w:val="00B700D4"/>
    <w:rsid w:val="00B71883"/>
    <w:rsid w:val="00B82F7C"/>
    <w:rsid w:val="00B856BA"/>
    <w:rsid w:val="00B8640E"/>
    <w:rsid w:val="00B9424D"/>
    <w:rsid w:val="00B94404"/>
    <w:rsid w:val="00BA1BEC"/>
    <w:rsid w:val="00BA2636"/>
    <w:rsid w:val="00BB328E"/>
    <w:rsid w:val="00BB46F6"/>
    <w:rsid w:val="00BC0E2F"/>
    <w:rsid w:val="00BC29DA"/>
    <w:rsid w:val="00BC34E2"/>
    <w:rsid w:val="00BD0322"/>
    <w:rsid w:val="00BD0B85"/>
    <w:rsid w:val="00BD7222"/>
    <w:rsid w:val="00BE18AA"/>
    <w:rsid w:val="00BE37F9"/>
    <w:rsid w:val="00BE3FA7"/>
    <w:rsid w:val="00BE55C8"/>
    <w:rsid w:val="00BE65C9"/>
    <w:rsid w:val="00BF3F88"/>
    <w:rsid w:val="00BF4925"/>
    <w:rsid w:val="00C058F6"/>
    <w:rsid w:val="00C07B19"/>
    <w:rsid w:val="00C12E80"/>
    <w:rsid w:val="00C153B4"/>
    <w:rsid w:val="00C2599E"/>
    <w:rsid w:val="00C30C20"/>
    <w:rsid w:val="00C364CA"/>
    <w:rsid w:val="00C37A04"/>
    <w:rsid w:val="00C44434"/>
    <w:rsid w:val="00C4488A"/>
    <w:rsid w:val="00C46DA1"/>
    <w:rsid w:val="00C51887"/>
    <w:rsid w:val="00C611C6"/>
    <w:rsid w:val="00C63F7A"/>
    <w:rsid w:val="00C674E2"/>
    <w:rsid w:val="00C80C6D"/>
    <w:rsid w:val="00C85C5C"/>
    <w:rsid w:val="00C913FE"/>
    <w:rsid w:val="00CA0EA0"/>
    <w:rsid w:val="00CB0A95"/>
    <w:rsid w:val="00CB1C45"/>
    <w:rsid w:val="00CC4400"/>
    <w:rsid w:val="00CD1E39"/>
    <w:rsid w:val="00CD5FB5"/>
    <w:rsid w:val="00CE01AC"/>
    <w:rsid w:val="00CE1F15"/>
    <w:rsid w:val="00CE228B"/>
    <w:rsid w:val="00CE66AB"/>
    <w:rsid w:val="00CF0855"/>
    <w:rsid w:val="00CF49E7"/>
    <w:rsid w:val="00D06C03"/>
    <w:rsid w:val="00D162F7"/>
    <w:rsid w:val="00D17765"/>
    <w:rsid w:val="00D2215A"/>
    <w:rsid w:val="00D222D7"/>
    <w:rsid w:val="00D23762"/>
    <w:rsid w:val="00D35148"/>
    <w:rsid w:val="00D40CAB"/>
    <w:rsid w:val="00D45D3A"/>
    <w:rsid w:val="00D45EBB"/>
    <w:rsid w:val="00D47418"/>
    <w:rsid w:val="00D52BAE"/>
    <w:rsid w:val="00D54968"/>
    <w:rsid w:val="00D56C5C"/>
    <w:rsid w:val="00D578D2"/>
    <w:rsid w:val="00D60AA2"/>
    <w:rsid w:val="00D61661"/>
    <w:rsid w:val="00D64B87"/>
    <w:rsid w:val="00D80EF7"/>
    <w:rsid w:val="00D819F4"/>
    <w:rsid w:val="00D824CD"/>
    <w:rsid w:val="00D82B13"/>
    <w:rsid w:val="00D84B0C"/>
    <w:rsid w:val="00DA0BDA"/>
    <w:rsid w:val="00DB1F7E"/>
    <w:rsid w:val="00DB2667"/>
    <w:rsid w:val="00DC42D0"/>
    <w:rsid w:val="00DD0860"/>
    <w:rsid w:val="00DD5080"/>
    <w:rsid w:val="00DD6CB0"/>
    <w:rsid w:val="00DD71FA"/>
    <w:rsid w:val="00DE109B"/>
    <w:rsid w:val="00DE4387"/>
    <w:rsid w:val="00DE5847"/>
    <w:rsid w:val="00DE6745"/>
    <w:rsid w:val="00DE7145"/>
    <w:rsid w:val="00DE759A"/>
    <w:rsid w:val="00DF5430"/>
    <w:rsid w:val="00DF7866"/>
    <w:rsid w:val="00E044FC"/>
    <w:rsid w:val="00E176BE"/>
    <w:rsid w:val="00E22BC3"/>
    <w:rsid w:val="00E25248"/>
    <w:rsid w:val="00E2550E"/>
    <w:rsid w:val="00E35EDE"/>
    <w:rsid w:val="00E40F21"/>
    <w:rsid w:val="00E46B29"/>
    <w:rsid w:val="00E505E3"/>
    <w:rsid w:val="00E52392"/>
    <w:rsid w:val="00E53772"/>
    <w:rsid w:val="00E66EB3"/>
    <w:rsid w:val="00E7344F"/>
    <w:rsid w:val="00E80CDE"/>
    <w:rsid w:val="00E81ED3"/>
    <w:rsid w:val="00E8593F"/>
    <w:rsid w:val="00E85D15"/>
    <w:rsid w:val="00E97B6F"/>
    <w:rsid w:val="00EA0F7C"/>
    <w:rsid w:val="00EA3ADC"/>
    <w:rsid w:val="00EA3F0A"/>
    <w:rsid w:val="00EA5E16"/>
    <w:rsid w:val="00EA6906"/>
    <w:rsid w:val="00EB2C3D"/>
    <w:rsid w:val="00EB2D78"/>
    <w:rsid w:val="00EB4632"/>
    <w:rsid w:val="00EC76CB"/>
    <w:rsid w:val="00ED127F"/>
    <w:rsid w:val="00ED2621"/>
    <w:rsid w:val="00ED6022"/>
    <w:rsid w:val="00ED7468"/>
    <w:rsid w:val="00EE2FBB"/>
    <w:rsid w:val="00EE3BD7"/>
    <w:rsid w:val="00EF05D3"/>
    <w:rsid w:val="00EF29CB"/>
    <w:rsid w:val="00EF599D"/>
    <w:rsid w:val="00EF6ACC"/>
    <w:rsid w:val="00EF710E"/>
    <w:rsid w:val="00EF763B"/>
    <w:rsid w:val="00EF76FE"/>
    <w:rsid w:val="00F014A1"/>
    <w:rsid w:val="00F01E3E"/>
    <w:rsid w:val="00F03B19"/>
    <w:rsid w:val="00F04A8E"/>
    <w:rsid w:val="00F101ED"/>
    <w:rsid w:val="00F10393"/>
    <w:rsid w:val="00F11332"/>
    <w:rsid w:val="00F126E2"/>
    <w:rsid w:val="00F151F1"/>
    <w:rsid w:val="00F16E95"/>
    <w:rsid w:val="00F218AC"/>
    <w:rsid w:val="00F26505"/>
    <w:rsid w:val="00F26BB1"/>
    <w:rsid w:val="00F3117A"/>
    <w:rsid w:val="00F34411"/>
    <w:rsid w:val="00F34BAA"/>
    <w:rsid w:val="00F34C9F"/>
    <w:rsid w:val="00F40F95"/>
    <w:rsid w:val="00F44D80"/>
    <w:rsid w:val="00F46A49"/>
    <w:rsid w:val="00F50A6E"/>
    <w:rsid w:val="00F53BE5"/>
    <w:rsid w:val="00F5525C"/>
    <w:rsid w:val="00F563A8"/>
    <w:rsid w:val="00F600AD"/>
    <w:rsid w:val="00F6059C"/>
    <w:rsid w:val="00F60B3F"/>
    <w:rsid w:val="00F651CA"/>
    <w:rsid w:val="00F66CEC"/>
    <w:rsid w:val="00F70B90"/>
    <w:rsid w:val="00F70E87"/>
    <w:rsid w:val="00F74E03"/>
    <w:rsid w:val="00F81692"/>
    <w:rsid w:val="00F86B14"/>
    <w:rsid w:val="00F9085C"/>
    <w:rsid w:val="00F9111B"/>
    <w:rsid w:val="00FA3301"/>
    <w:rsid w:val="00FA6643"/>
    <w:rsid w:val="00FA6E0E"/>
    <w:rsid w:val="00FB3B15"/>
    <w:rsid w:val="00FB6DBF"/>
    <w:rsid w:val="00FB6FC2"/>
    <w:rsid w:val="00FC5D5E"/>
    <w:rsid w:val="00FC5DB1"/>
    <w:rsid w:val="00FD6463"/>
    <w:rsid w:val="00FD7EA5"/>
    <w:rsid w:val="00FE114E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rFonts w:eastAsiaTheme="majorEastAsia" w:cstheme="maj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F86B14"/>
    <w:pPr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505E3"/>
    <w:rPr>
      <w:rFonts w:ascii="Arial" w:eastAsiaTheme="majorEastAsia" w:hAnsi="Arial" w:cstheme="majorBidi"/>
      <w:b/>
      <w:bCs/>
      <w:sz w:val="22"/>
      <w:szCs w:val="28"/>
      <w:u w:val="single"/>
      <w:lang w:val="es-ES_tradnl" w:eastAsia="es-ES"/>
    </w:rPr>
  </w:style>
  <w:style w:type="table" w:customStyle="1" w:styleId="GridTable4Accent1">
    <w:name w:val="Grid Table 4 Accent 1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B3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rFonts w:eastAsiaTheme="majorEastAsia" w:cstheme="maj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F86B14"/>
    <w:pPr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505E3"/>
    <w:rPr>
      <w:rFonts w:ascii="Arial" w:eastAsiaTheme="majorEastAsia" w:hAnsi="Arial" w:cstheme="majorBidi"/>
      <w:b/>
      <w:bCs/>
      <w:sz w:val="22"/>
      <w:szCs w:val="28"/>
      <w:u w:val="single"/>
      <w:lang w:val="es-ES_tradnl" w:eastAsia="es-ES"/>
    </w:rPr>
  </w:style>
  <w:style w:type="table" w:customStyle="1" w:styleId="GridTable4Accent1">
    <w:name w:val="Grid Table 4 Accent 1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B3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Reporte%20Gesti&#243;n%20de%20Peticiones%20Enero%202019%20(CVP)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ryn%20Calderon%20Truj\Downloads\Oportunidad%20PQRSD\CONSOLIDADO%20PQRS%20CONSOLIDADO%20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(1).xlsx]pqrsd!Tabla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Grafica No. 1 - PQRSD Recibidas Enero 2019 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1.9444444444444445E-2"/>
              <c:y val="-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1.9444444444444445E-2"/>
              <c:y val="-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1.9444444444444445E-2"/>
              <c:y val="-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183325810388352E-2"/>
                  <c:y val="-4.629652062722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F8-4684-8F22-33926536F9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pqrsd!$A$5:$A$6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pqrsd!$B$5:$B$6</c:f>
              <c:numCache>
                <c:formatCode>General</c:formatCode>
                <c:ptCount val="1"/>
                <c:pt idx="0">
                  <c:v>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F8-4684-8F22-33926536F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180608"/>
        <c:axId val="163479552"/>
        <c:axId val="0"/>
      </c:bar3DChart>
      <c:catAx>
        <c:axId val="162180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3479552"/>
        <c:crosses val="autoZero"/>
        <c:auto val="1"/>
        <c:lblAlgn val="ctr"/>
        <c:lblOffset val="100"/>
        <c:noMultiLvlLbl val="0"/>
      </c:catAx>
      <c:valAx>
        <c:axId val="16347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218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u="none" strike="noStrike" baseline="0">
                <a:solidFill>
                  <a:sysClr val="windowText" lastClr="000000"/>
                </a:solidFill>
                <a:effectLst/>
              </a:rPr>
              <a:t>Grafica No. 2 - </a:t>
            </a:r>
            <a:r>
              <a:rPr lang="es-CO" sz="1800" b="1">
                <a:solidFill>
                  <a:sysClr val="windowText" lastClr="000000"/>
                </a:solidFill>
              </a:rPr>
              <a:t>Total PQRSD a Solucionar en Enero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1020705745115195"/>
          <c:w val="0.81388888888888888"/>
          <c:h val="0.57479476523767858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9D-4A9A-9175-B0F87C73CB1B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B9D-4A9A-9175-B0F87C73CB1B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21,41%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9D-4A9A-9175-B0F87C73CB1B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78,59%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9D-4A9A-9175-B0F87C73CB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Hoja1!$B$3:$B$4</c:f>
              <c:strCache>
                <c:ptCount val="2"/>
                <c:pt idx="0">
                  <c:v>PQRSD a responder en este mes</c:v>
                </c:pt>
                <c:pt idx="1">
                  <c:v>PQRSD a responder en otro(s) mes(es)</c:v>
                </c:pt>
              </c:strCache>
            </c:strRef>
          </c:cat>
          <c:val>
            <c:numRef>
              <c:f>Hoja1!$C$3:$C$4</c:f>
              <c:numCache>
                <c:formatCode>General</c:formatCode>
                <c:ptCount val="2"/>
                <c:pt idx="0">
                  <c:v>94</c:v>
                </c:pt>
                <c:pt idx="1">
                  <c:v>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D-4A9A-9175-B0F87C73CB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9.7279679707874232E-3"/>
          <c:y val="0.85171795417464713"/>
          <c:w val="0.9745236652189477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(1).xlsx]CANALES!Tabla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Grafica No. 3 - PQRSD por </a:t>
            </a:r>
            <a:r>
              <a:rPr lang="en-US"/>
              <a:t>Canales</a:t>
            </a:r>
            <a:r>
              <a:rPr lang="en-US" baseline="0"/>
              <a:t> de Interacción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5305688463579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FC-46A1-A87D-443778FED0DB}"/>
                </c:ext>
              </c:extLst>
            </c:dLbl>
            <c:dLbl>
              <c:idx val="1"/>
              <c:layout>
                <c:manualLayout>
                  <c:x val="-2.1265284423179162E-3"/>
                  <c:y val="-1.6025641025641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FC-46A1-A87D-443778FED0DB}"/>
                </c:ext>
              </c:extLst>
            </c:dLbl>
            <c:dLbl>
              <c:idx val="2"/>
              <c:layout>
                <c:manualLayout>
                  <c:x val="8.5061137692716646E-3"/>
                  <c:y val="-5.87600049600922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FC-46A1-A87D-443778FED0DB}"/>
                </c:ext>
              </c:extLst>
            </c:dLbl>
            <c:dLbl>
              <c:idx val="3"/>
              <c:layout>
                <c:manualLayout>
                  <c:x val="6.3795853269537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FC-46A1-A87D-443778FED0DB}"/>
                </c:ext>
              </c:extLst>
            </c:dLbl>
            <c:dLbl>
              <c:idx val="4"/>
              <c:layout>
                <c:manualLayout>
                  <c:x val="1.063264221158954E-2"/>
                  <c:y val="-2.93800024800461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FC-46A1-A87D-443778FED0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20</c:v>
                </c:pt>
                <c:pt idx="1">
                  <c:v>287</c:v>
                </c:pt>
                <c:pt idx="2">
                  <c:v>14</c:v>
                </c:pt>
                <c:pt idx="3">
                  <c:v>2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FC-46A1-A87D-443778FED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573824"/>
        <c:axId val="163482432"/>
        <c:axId val="0"/>
      </c:bar3DChart>
      <c:catAx>
        <c:axId val="1625738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3482432"/>
        <c:crosses val="autoZero"/>
        <c:auto val="1"/>
        <c:lblAlgn val="ctr"/>
        <c:lblOffset val="100"/>
        <c:noMultiLvlLbl val="0"/>
      </c:catAx>
      <c:valAx>
        <c:axId val="163482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257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(1).xlsx]tipo!Tabla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Grafica No. 4 - PQRSD por Tipologías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tipo!$A$5:$A$13</c:f>
              <c:strCache>
                <c:ptCount val="8"/>
                <c:pt idx="0">
                  <c:v>CONSULTA</c:v>
                </c:pt>
                <c:pt idx="1">
                  <c:v>DENUNCIA POR ACTOS DE CORRUPCIÓN</c:v>
                </c:pt>
                <c:pt idx="2">
                  <c:v>DERECHO DE PETICIÓN DE INTERÉS GENERAL</c:v>
                </c:pt>
                <c:pt idx="3">
                  <c:v>DERECHO DE PETICIÓN DE INTERÉS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INFORMACIÓN</c:v>
                </c:pt>
                <c:pt idx="7">
                  <c:v>SOLICITUD DE COPIA</c:v>
                </c:pt>
              </c:strCache>
            </c:strRef>
          </c:cat>
          <c:val>
            <c:numRef>
              <c:f>tipo!$B$5:$B$13</c:f>
              <c:numCache>
                <c:formatCode>General</c:formatCode>
                <c:ptCount val="8"/>
                <c:pt idx="0">
                  <c:v>11</c:v>
                </c:pt>
                <c:pt idx="1">
                  <c:v>2</c:v>
                </c:pt>
                <c:pt idx="2">
                  <c:v>23</c:v>
                </c:pt>
                <c:pt idx="3">
                  <c:v>259</c:v>
                </c:pt>
                <c:pt idx="4">
                  <c:v>6</c:v>
                </c:pt>
                <c:pt idx="5">
                  <c:v>6</c:v>
                </c:pt>
                <c:pt idx="6">
                  <c:v>17</c:v>
                </c:pt>
                <c:pt idx="7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AE-45A6-BCB2-72EFD7FFB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571776"/>
        <c:axId val="163484160"/>
        <c:axId val="0"/>
      </c:bar3DChart>
      <c:catAx>
        <c:axId val="162571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3484160"/>
        <c:crosses val="autoZero"/>
        <c:auto val="1"/>
        <c:lblAlgn val="ctr"/>
        <c:lblOffset val="100"/>
        <c:noMultiLvlLbl val="0"/>
      </c:catAx>
      <c:valAx>
        <c:axId val="163484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257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(1).xlsx]LOCALIDAD!Tabla dinámica5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Grafica No. 5 - PQRSD por 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8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6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0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4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5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6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7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8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9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0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1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2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3"/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84-4FC7-852D-8817B69328D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84-4FC7-852D-8817B69328D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84-4FC7-852D-8817B69328D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84-4FC7-852D-8817B69328D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84-4FC7-852D-8817B69328DB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84-4FC7-852D-8817B69328D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84-4FC7-852D-8817B69328DB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84-4FC7-852D-8817B69328DB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84-4FC7-852D-8817B69328DB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84-4FC7-852D-8817B69328DB}"/>
                </c:ext>
              </c:extLst>
            </c:dLbl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84-4FC7-852D-8817B69328DB}"/>
                </c:ext>
              </c:extLst>
            </c:dLbl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84-4FC7-852D-8817B69328DB}"/>
                </c:ext>
              </c:extLst>
            </c:dLbl>
            <c:dLbl>
              <c:idx val="1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84-4FC7-852D-8817B69328DB}"/>
                </c:ext>
              </c:extLst>
            </c:dLbl>
            <c:dLbl>
              <c:idx val="1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484-4FC7-852D-8817B69328DB}"/>
                </c:ext>
              </c:extLst>
            </c:dLbl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84-4FC7-852D-8817B69328DB}"/>
                </c:ext>
              </c:extLst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484-4FC7-852D-8817B69328DB}"/>
                </c:ext>
              </c:extLst>
            </c:dLbl>
            <c:dLbl>
              <c:idx val="16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484-4FC7-852D-8817B69328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LOCALIDAD!$A$5:$A$22</c:f>
              <c:strCache>
                <c:ptCount val="17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07 - BOSA</c:v>
                </c:pt>
                <c:pt idx="6">
                  <c:v>08 - KENNEDY</c:v>
                </c:pt>
                <c:pt idx="7">
                  <c:v>09 - FONTIBON</c:v>
                </c:pt>
                <c:pt idx="8">
                  <c:v>10 - ENGATIVA</c:v>
                </c:pt>
                <c:pt idx="9">
                  <c:v>11 - SUBA</c:v>
                </c:pt>
                <c:pt idx="10">
                  <c:v>13 - TEUSAQUILLO</c:v>
                </c:pt>
                <c:pt idx="11">
                  <c:v>14 - LOS MARTIRES</c:v>
                </c:pt>
                <c:pt idx="12">
                  <c:v>15 - ANTONIO NARIÑO</c:v>
                </c:pt>
                <c:pt idx="13">
                  <c:v>17 - LA CANDELARIA</c:v>
                </c:pt>
                <c:pt idx="14">
                  <c:v>18 - RAFAEL URIBE URIBE</c:v>
                </c:pt>
                <c:pt idx="15">
                  <c:v>19 - CIUDAD BOLIVAR</c:v>
                </c:pt>
                <c:pt idx="16">
                  <c:v>(en blanco)</c:v>
                </c:pt>
              </c:strCache>
            </c:strRef>
          </c:cat>
          <c:val>
            <c:numRef>
              <c:f>LOCALIDAD!$B$5:$B$22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12</c:v>
                </c:pt>
                <c:pt idx="5">
                  <c:v>5</c:v>
                </c:pt>
                <c:pt idx="6">
                  <c:v>11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10</c:v>
                </c:pt>
                <c:pt idx="15">
                  <c:v>34</c:v>
                </c:pt>
                <c:pt idx="16">
                  <c:v>261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D484-4FC7-852D-8817B69328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73312"/>
        <c:axId val="163485888"/>
      </c:barChart>
      <c:catAx>
        <c:axId val="162573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485888"/>
        <c:crosses val="autoZero"/>
        <c:auto val="1"/>
        <c:lblAlgn val="ctr"/>
        <c:lblOffset val="100"/>
        <c:noMultiLvlLbl val="0"/>
      </c:catAx>
      <c:valAx>
        <c:axId val="16348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57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(1).xlsx]estrato!Tabla dinámica6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Grafica No. 6 - PQRSD p</a:t>
            </a:r>
            <a:r>
              <a:rPr lang="en-US" baseline="0"/>
              <a:t>or Estrato Social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estrato!$A$5:$A$11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(en blanco)</c:v>
                </c:pt>
              </c:strCache>
            </c:strRef>
          </c:cat>
          <c:val>
            <c:numRef>
              <c:f>estrato!$B$5:$B$11</c:f>
              <c:numCache>
                <c:formatCode>General</c:formatCode>
                <c:ptCount val="6"/>
                <c:pt idx="0">
                  <c:v>66</c:v>
                </c:pt>
                <c:pt idx="1">
                  <c:v>80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7C-4FDB-9D1D-20D8D7723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570240"/>
        <c:axId val="132096000"/>
        <c:axId val="0"/>
      </c:bar3DChart>
      <c:catAx>
        <c:axId val="1625702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2096000"/>
        <c:crosses val="autoZero"/>
        <c:auto val="1"/>
        <c:lblAlgn val="ctr"/>
        <c:lblOffset val="100"/>
        <c:noMultiLvlLbl val="0"/>
      </c:catAx>
      <c:valAx>
        <c:axId val="132096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257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2019 (CVP) (1).xlsx]tipo requiriente!Tabla dinámica7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Grafica No. 7 - PQRSD por Tipo</a:t>
            </a:r>
            <a:r>
              <a:rPr lang="en-US" baseline="0"/>
              <a:t> de Requiriente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-5.7103884586246142E-2"/>
              <c:y val="-2.828145543720731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2.8992319872464641E-2"/>
              <c:y val="1.37127042984542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-1.5871473658131994E-2"/>
              <c:y val="-1.0966499731623581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2.8992319872464641E-2"/>
              <c:y val="1.37127042984542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-5.7103884586246142E-2"/>
              <c:y val="-2.828145543720731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-1.5871473658131994E-2"/>
              <c:y val="-1.0966499731623581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layout>
            <c:manualLayout>
              <c:x val="2.8992319872464641E-2"/>
              <c:y val="1.37127042984542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layout>
            <c:manualLayout>
              <c:x val="-5.7103884586246142E-2"/>
              <c:y val="-2.828145543720731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1.5871473658131994E-2"/>
              <c:y val="-1.0966499731623581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'tipo requiriente'!$B$4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2.8992319872464641E-2"/>
                  <c:y val="1.371270429845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98-4C8B-94AD-E112BFC8AD6A}"/>
                </c:ext>
              </c:extLst>
            </c:dLbl>
            <c:dLbl>
              <c:idx val="1"/>
              <c:layout>
                <c:manualLayout>
                  <c:x val="-5.7103884586246142E-2"/>
                  <c:y val="-2.828145543720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8-4C8B-94AD-E112BFC8AD6A}"/>
                </c:ext>
              </c:extLst>
            </c:dLbl>
            <c:dLbl>
              <c:idx val="2"/>
              <c:layout>
                <c:manualLayout>
                  <c:x val="-1.5871473658131994E-2"/>
                  <c:y val="-1.0966499731623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98-4C8B-94AD-E112BFC8AD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requiriente'!$B$5:$B$8</c:f>
              <c:numCache>
                <c:formatCode>General</c:formatCode>
                <c:ptCount val="3"/>
                <c:pt idx="0">
                  <c:v>12</c:v>
                </c:pt>
                <c:pt idx="1">
                  <c:v>339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98-4C8B-94AD-E112BFC8A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 sz="1600" b="1">
                <a:solidFill>
                  <a:schemeClr val="tx1"/>
                </a:solidFill>
              </a:rPr>
              <a:t>Grafica No. 8 - PORCENTAJE DE DIAS</a:t>
            </a:r>
            <a:r>
              <a:rPr lang="es-CO" sz="1600" b="1" baseline="0">
                <a:solidFill>
                  <a:schemeClr val="tx1"/>
                </a:solidFill>
              </a:rPr>
              <a:t> UTILIZADOS</a:t>
            </a:r>
            <a:endParaRPr lang="es-CO" sz="16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83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358124665696415E-2"/>
          <c:y val="0.18050489871972111"/>
          <c:w val="0.95911007882523602"/>
          <c:h val="0.58024923713804077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20000"/>
                <a:lumOff val="80000"/>
              </a:schemeClr>
            </a:solidFill>
          </c:spPr>
          <c:dPt>
            <c:idx val="0"/>
            <c:bubble3D val="0"/>
            <c:explosion val="22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69-4ED3-AF07-BA63F1A5FF39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69-4ED3-AF07-BA63F1A5FF39}"/>
              </c:ext>
            </c:extLst>
          </c:dPt>
          <c:dLbls>
            <c:dLbl>
              <c:idx val="0"/>
              <c:layout>
                <c:manualLayout>
                  <c:x val="0.17372061069351741"/>
                  <c:y val="-0.196156528592566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58,17%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9-4ED3-AF07-BA63F1A5FF39}"/>
                </c:ext>
              </c:extLst>
            </c:dLbl>
            <c:dLbl>
              <c:idx val="1"/>
              <c:layout>
                <c:manualLayout>
                  <c:x val="-0.10609216910087203"/>
                  <c:y val="9.775461703650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41,83%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9-4ED3-AF07-BA63F1A5FF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Hoja1!$I$7:$J$7</c:f>
              <c:strCache>
                <c:ptCount val="2"/>
                <c:pt idx="0">
                  <c:v>Promedio Dias Utilizados </c:v>
                </c:pt>
                <c:pt idx="1">
                  <c:v>Ahorro</c:v>
                </c:pt>
              </c:strCache>
            </c:strRef>
          </c:cat>
          <c:val>
            <c:numRef>
              <c:f>Hoja1!$I$8:$J$8</c:f>
              <c:numCache>
                <c:formatCode>0.00%</c:formatCode>
                <c:ptCount val="2"/>
                <c:pt idx="0" formatCode="0%">
                  <c:v>0.73219999999999996</c:v>
                </c:pt>
                <c:pt idx="1">
                  <c:v>0.26779999999999998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69-4ED3-AF07-BA63F1A5FF3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3561</Words>
  <Characters>19588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2019-02-12T14:32:00Z</cp:lastPrinted>
  <dcterms:created xsi:type="dcterms:W3CDTF">2019-02-12T14:58:00Z</dcterms:created>
  <dcterms:modified xsi:type="dcterms:W3CDTF">2019-02-12T14:58:00Z</dcterms:modified>
</cp:coreProperties>
</file>