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End w:id="0"/>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1" w:name="_Hlk535403673"/>
      <w:r w:rsidRPr="00933B84">
        <w:rPr>
          <w:rFonts w:ascii="Arial" w:hAnsi="Arial" w:cs="Arial"/>
          <w:b/>
          <w:sz w:val="40"/>
          <w:szCs w:val="40"/>
        </w:rPr>
        <w:t xml:space="preserve">INFORME </w:t>
      </w:r>
      <w:r w:rsidR="008F03D0">
        <w:rPr>
          <w:rFonts w:ascii="Arial" w:hAnsi="Arial" w:cs="Arial"/>
          <w:b/>
          <w:sz w:val="40"/>
          <w:szCs w:val="40"/>
        </w:rPr>
        <w:t>SEMESTRAL</w:t>
      </w:r>
      <w:r w:rsidRPr="00933B84">
        <w:rPr>
          <w:rFonts w:ascii="Arial" w:hAnsi="Arial" w:cs="Arial"/>
          <w:b/>
          <w:sz w:val="40"/>
          <w:szCs w:val="40"/>
        </w:rPr>
        <w:t xml:space="preserve">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1"/>
    </w:p>
    <w:p w:rsidR="00F86B14" w:rsidRPr="00933B84" w:rsidRDefault="00F86B14" w:rsidP="00DF7866">
      <w:pPr>
        <w:pStyle w:val="Sinespaciado"/>
        <w:jc w:val="center"/>
        <w:rPr>
          <w:rFonts w:ascii="Arial" w:hAnsi="Arial" w:cs="Arial"/>
          <w:b/>
          <w:sz w:val="40"/>
          <w:szCs w:val="40"/>
        </w:rPr>
      </w:pPr>
      <w:bookmarkStart w:id="2" w:name="_GoBack"/>
      <w:bookmarkEnd w:id="2"/>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w:t>
      </w:r>
      <w:r w:rsidR="00E622C5">
        <w:rPr>
          <w:rFonts w:ascii="Arial" w:hAnsi="Arial" w:cs="Arial"/>
          <w:b/>
          <w:sz w:val="40"/>
          <w:szCs w:val="40"/>
        </w:rPr>
        <w:t xml:space="preserve">de enero </w:t>
      </w:r>
      <w:r w:rsidRPr="00933B84">
        <w:rPr>
          <w:rFonts w:ascii="Arial" w:hAnsi="Arial" w:cs="Arial"/>
          <w:b/>
          <w:sz w:val="40"/>
          <w:szCs w:val="40"/>
        </w:rPr>
        <w:t xml:space="preserve">al </w:t>
      </w:r>
      <w:r w:rsidR="005F25C2">
        <w:rPr>
          <w:rFonts w:ascii="Arial" w:hAnsi="Arial" w:cs="Arial"/>
          <w:b/>
          <w:sz w:val="40"/>
          <w:szCs w:val="40"/>
        </w:rPr>
        <w:t>3</w:t>
      </w:r>
      <w:r w:rsidR="007427C7">
        <w:rPr>
          <w:rFonts w:ascii="Arial" w:hAnsi="Arial" w:cs="Arial"/>
          <w:b/>
          <w:sz w:val="40"/>
          <w:szCs w:val="40"/>
        </w:rPr>
        <w:t>0</w:t>
      </w:r>
      <w:r w:rsidRPr="00933B84">
        <w:rPr>
          <w:rFonts w:ascii="Arial" w:hAnsi="Arial" w:cs="Arial"/>
          <w:b/>
          <w:sz w:val="40"/>
          <w:szCs w:val="40"/>
        </w:rPr>
        <w:t xml:space="preserve"> de </w:t>
      </w:r>
      <w:r w:rsidR="007427C7">
        <w:rPr>
          <w:rFonts w:ascii="Arial" w:hAnsi="Arial" w:cs="Arial"/>
          <w:b/>
          <w:sz w:val="40"/>
          <w:szCs w:val="40"/>
        </w:rPr>
        <w:t>junio</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7720AA">
        <w:rPr>
          <w:rFonts w:ascii="Arial" w:hAnsi="Arial" w:cs="Arial"/>
          <w:b/>
          <w:sz w:val="40"/>
          <w:szCs w:val="40"/>
        </w:rPr>
        <w:t>20</w:t>
      </w:r>
      <w:r w:rsidRPr="00933B84">
        <w:rPr>
          <w:rFonts w:ascii="Arial" w:hAnsi="Arial" w:cs="Arial"/>
          <w:b/>
          <w:sz w:val="40"/>
          <w:szCs w:val="40"/>
        </w:rPr>
        <w:t xml:space="preserve"> de </w:t>
      </w:r>
      <w:r w:rsidR="00B41E8D">
        <w:rPr>
          <w:rFonts w:ascii="Arial" w:hAnsi="Arial" w:cs="Arial"/>
          <w:b/>
          <w:sz w:val="40"/>
          <w:szCs w:val="40"/>
        </w:rPr>
        <w:t>agosto</w:t>
      </w:r>
      <w:r w:rsidR="00C44434">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Default="00F86B14" w:rsidP="00DF7866">
      <w:pPr>
        <w:spacing w:after="0" w:line="240" w:lineRule="auto"/>
        <w:jc w:val="both"/>
        <w:rPr>
          <w:rFonts w:ascii="Arial" w:hAnsi="Arial" w:cs="Arial"/>
          <w:sz w:val="24"/>
          <w:szCs w:val="24"/>
        </w:rPr>
      </w:pPr>
    </w:p>
    <w:p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7F4C7C"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16758360" w:history="1">
            <w:r w:rsidR="007F4C7C" w:rsidRPr="0052407B">
              <w:rPr>
                <w:rStyle w:val="Hipervnculo"/>
                <w:rFonts w:cs="Arial"/>
                <w:noProof/>
                <w:lang w:val="es-ES"/>
              </w:rPr>
              <w:t>1.</w:t>
            </w:r>
            <w:r w:rsidR="007F4C7C">
              <w:rPr>
                <w:rFonts w:asciiTheme="minorHAnsi" w:eastAsiaTheme="minorEastAsia" w:hAnsiTheme="minorHAnsi" w:cstheme="minorBidi"/>
                <w:noProof/>
                <w:szCs w:val="22"/>
                <w:lang w:val="es-CO" w:eastAsia="es-CO"/>
              </w:rPr>
              <w:tab/>
            </w:r>
            <w:r w:rsidR="007F4C7C" w:rsidRPr="0052407B">
              <w:rPr>
                <w:rStyle w:val="Hipervnculo"/>
                <w:rFonts w:cs="Arial"/>
                <w:noProof/>
                <w:lang w:val="es-ES"/>
              </w:rPr>
              <w:t>OBJETIVO Y ALCANCE</w:t>
            </w:r>
            <w:r w:rsidR="007F4C7C">
              <w:rPr>
                <w:noProof/>
                <w:webHidden/>
              </w:rPr>
              <w:tab/>
            </w:r>
            <w:r w:rsidR="007F4C7C">
              <w:rPr>
                <w:noProof/>
                <w:webHidden/>
              </w:rPr>
              <w:fldChar w:fldCharType="begin"/>
            </w:r>
            <w:r w:rsidR="007F4C7C">
              <w:rPr>
                <w:noProof/>
                <w:webHidden/>
              </w:rPr>
              <w:instrText xml:space="preserve"> PAGEREF _Toc16758360 \h </w:instrText>
            </w:r>
            <w:r w:rsidR="007F4C7C">
              <w:rPr>
                <w:noProof/>
                <w:webHidden/>
              </w:rPr>
            </w:r>
            <w:r w:rsidR="007F4C7C">
              <w:rPr>
                <w:noProof/>
                <w:webHidden/>
              </w:rPr>
              <w:fldChar w:fldCharType="separate"/>
            </w:r>
            <w:r w:rsidR="007720AA">
              <w:rPr>
                <w:noProof/>
                <w:webHidden/>
              </w:rPr>
              <w:t>4</w:t>
            </w:r>
            <w:r w:rsidR="007F4C7C">
              <w:rPr>
                <w:noProof/>
                <w:webHidden/>
              </w:rPr>
              <w:fldChar w:fldCharType="end"/>
            </w:r>
          </w:hyperlink>
        </w:p>
        <w:p w:rsidR="007F4C7C" w:rsidRDefault="00BD39A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758361" w:history="1">
            <w:r w:rsidR="007F4C7C" w:rsidRPr="0052407B">
              <w:rPr>
                <w:rStyle w:val="Hipervnculo"/>
                <w:rFonts w:cs="Arial"/>
                <w:noProof/>
                <w:lang w:val="es-ES"/>
              </w:rPr>
              <w:t>2.</w:t>
            </w:r>
            <w:r w:rsidR="007F4C7C">
              <w:rPr>
                <w:rFonts w:asciiTheme="minorHAnsi" w:eastAsiaTheme="minorEastAsia" w:hAnsiTheme="minorHAnsi" w:cstheme="minorBidi"/>
                <w:noProof/>
                <w:szCs w:val="22"/>
                <w:lang w:val="es-CO" w:eastAsia="es-CO"/>
              </w:rPr>
              <w:tab/>
            </w:r>
            <w:r w:rsidR="007F4C7C" w:rsidRPr="0052407B">
              <w:rPr>
                <w:rStyle w:val="Hipervnculo"/>
                <w:rFonts w:cs="Arial"/>
                <w:noProof/>
                <w:lang w:val="es-ES"/>
              </w:rPr>
              <w:t>METODOLOGÍA</w:t>
            </w:r>
            <w:r w:rsidR="007F4C7C">
              <w:rPr>
                <w:noProof/>
                <w:webHidden/>
              </w:rPr>
              <w:tab/>
            </w:r>
            <w:r w:rsidR="007F4C7C">
              <w:rPr>
                <w:noProof/>
                <w:webHidden/>
              </w:rPr>
              <w:fldChar w:fldCharType="begin"/>
            </w:r>
            <w:r w:rsidR="007F4C7C">
              <w:rPr>
                <w:noProof/>
                <w:webHidden/>
              </w:rPr>
              <w:instrText xml:space="preserve"> PAGEREF _Toc16758361 \h </w:instrText>
            </w:r>
            <w:r w:rsidR="007F4C7C">
              <w:rPr>
                <w:noProof/>
                <w:webHidden/>
              </w:rPr>
            </w:r>
            <w:r w:rsidR="007F4C7C">
              <w:rPr>
                <w:noProof/>
                <w:webHidden/>
              </w:rPr>
              <w:fldChar w:fldCharType="separate"/>
            </w:r>
            <w:r w:rsidR="007720AA">
              <w:rPr>
                <w:noProof/>
                <w:webHidden/>
              </w:rPr>
              <w:t>4</w:t>
            </w:r>
            <w:r w:rsidR="007F4C7C">
              <w:rPr>
                <w:noProof/>
                <w:webHidden/>
              </w:rPr>
              <w:fldChar w:fldCharType="end"/>
            </w:r>
          </w:hyperlink>
        </w:p>
        <w:p w:rsidR="007F4C7C" w:rsidRDefault="00BD39A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758362" w:history="1">
            <w:r w:rsidR="007F4C7C" w:rsidRPr="0052407B">
              <w:rPr>
                <w:rStyle w:val="Hipervnculo"/>
                <w:rFonts w:cs="Arial"/>
                <w:noProof/>
              </w:rPr>
              <w:t>3.</w:t>
            </w:r>
            <w:r w:rsidR="007F4C7C">
              <w:rPr>
                <w:rFonts w:asciiTheme="minorHAnsi" w:eastAsiaTheme="minorEastAsia" w:hAnsiTheme="minorHAnsi" w:cstheme="minorBidi"/>
                <w:noProof/>
                <w:szCs w:val="22"/>
                <w:lang w:val="es-CO" w:eastAsia="es-CO"/>
              </w:rPr>
              <w:tab/>
            </w:r>
            <w:r w:rsidR="007F4C7C" w:rsidRPr="0052407B">
              <w:rPr>
                <w:rStyle w:val="Hipervnculo"/>
                <w:rFonts w:cs="Arial"/>
                <w:noProof/>
              </w:rPr>
              <w:t>GESTION DE LAS PQRSD RECIBIDAS EN EL PRIMER SEMESTRE 2019</w:t>
            </w:r>
            <w:r w:rsidR="007F4C7C">
              <w:rPr>
                <w:noProof/>
                <w:webHidden/>
              </w:rPr>
              <w:tab/>
            </w:r>
            <w:r w:rsidR="007F4C7C">
              <w:rPr>
                <w:noProof/>
                <w:webHidden/>
              </w:rPr>
              <w:fldChar w:fldCharType="begin"/>
            </w:r>
            <w:r w:rsidR="007F4C7C">
              <w:rPr>
                <w:noProof/>
                <w:webHidden/>
              </w:rPr>
              <w:instrText xml:space="preserve"> PAGEREF _Toc16758362 \h </w:instrText>
            </w:r>
            <w:r w:rsidR="007F4C7C">
              <w:rPr>
                <w:noProof/>
                <w:webHidden/>
              </w:rPr>
            </w:r>
            <w:r w:rsidR="007F4C7C">
              <w:rPr>
                <w:noProof/>
                <w:webHidden/>
              </w:rPr>
              <w:fldChar w:fldCharType="separate"/>
            </w:r>
            <w:r w:rsidR="007720AA">
              <w:rPr>
                <w:noProof/>
                <w:webHidden/>
              </w:rPr>
              <w:t>5</w:t>
            </w:r>
            <w:r w:rsidR="007F4C7C">
              <w:rPr>
                <w:noProof/>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3" w:history="1">
            <w:r w:rsidR="007F4C7C" w:rsidRPr="0052407B">
              <w:rPr>
                <w:rStyle w:val="Hipervnculo"/>
                <w:rFonts w:cs="Arial"/>
              </w:rPr>
              <w:t>3.1.</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Numero de PQRSD Recibidas</w:t>
            </w:r>
            <w:r w:rsidR="007F4C7C">
              <w:rPr>
                <w:webHidden/>
              </w:rPr>
              <w:tab/>
            </w:r>
            <w:r w:rsidR="007F4C7C">
              <w:rPr>
                <w:webHidden/>
              </w:rPr>
              <w:fldChar w:fldCharType="begin"/>
            </w:r>
            <w:r w:rsidR="007F4C7C">
              <w:rPr>
                <w:webHidden/>
              </w:rPr>
              <w:instrText xml:space="preserve"> PAGEREF _Toc16758363 \h </w:instrText>
            </w:r>
            <w:r w:rsidR="007F4C7C">
              <w:rPr>
                <w:webHidden/>
              </w:rPr>
            </w:r>
            <w:r w:rsidR="007F4C7C">
              <w:rPr>
                <w:webHidden/>
              </w:rPr>
              <w:fldChar w:fldCharType="separate"/>
            </w:r>
            <w:r w:rsidR="007720AA">
              <w:rPr>
                <w:webHidden/>
              </w:rPr>
              <w:t>5</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4" w:history="1">
            <w:r w:rsidR="007F4C7C" w:rsidRPr="0052407B">
              <w:rPr>
                <w:rStyle w:val="Hipervnculo"/>
                <w:rFonts w:cs="Arial"/>
              </w:rPr>
              <w:t>3.2.</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Canales de Interacción</w:t>
            </w:r>
            <w:r w:rsidR="007F4C7C">
              <w:rPr>
                <w:webHidden/>
              </w:rPr>
              <w:tab/>
            </w:r>
            <w:r w:rsidR="007F4C7C">
              <w:rPr>
                <w:webHidden/>
              </w:rPr>
              <w:fldChar w:fldCharType="begin"/>
            </w:r>
            <w:r w:rsidR="007F4C7C">
              <w:rPr>
                <w:webHidden/>
              </w:rPr>
              <w:instrText xml:space="preserve"> PAGEREF _Toc16758364 \h </w:instrText>
            </w:r>
            <w:r w:rsidR="007F4C7C">
              <w:rPr>
                <w:webHidden/>
              </w:rPr>
            </w:r>
            <w:r w:rsidR="007F4C7C">
              <w:rPr>
                <w:webHidden/>
              </w:rPr>
              <w:fldChar w:fldCharType="separate"/>
            </w:r>
            <w:r w:rsidR="007720AA">
              <w:rPr>
                <w:webHidden/>
              </w:rPr>
              <w:t>7</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5" w:history="1">
            <w:r w:rsidR="007F4C7C" w:rsidRPr="0052407B">
              <w:rPr>
                <w:rStyle w:val="Hipervnculo"/>
                <w:rFonts w:cs="Arial"/>
              </w:rPr>
              <w:t>3.3.</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Tipologías</w:t>
            </w:r>
            <w:r w:rsidR="007F4C7C">
              <w:rPr>
                <w:webHidden/>
              </w:rPr>
              <w:tab/>
            </w:r>
            <w:r w:rsidR="007F4C7C">
              <w:rPr>
                <w:webHidden/>
              </w:rPr>
              <w:fldChar w:fldCharType="begin"/>
            </w:r>
            <w:r w:rsidR="007F4C7C">
              <w:rPr>
                <w:webHidden/>
              </w:rPr>
              <w:instrText xml:space="preserve"> PAGEREF _Toc16758365 \h </w:instrText>
            </w:r>
            <w:r w:rsidR="007F4C7C">
              <w:rPr>
                <w:webHidden/>
              </w:rPr>
            </w:r>
            <w:r w:rsidR="007F4C7C">
              <w:rPr>
                <w:webHidden/>
              </w:rPr>
              <w:fldChar w:fldCharType="separate"/>
            </w:r>
            <w:r w:rsidR="007720AA">
              <w:rPr>
                <w:webHidden/>
              </w:rPr>
              <w:t>8</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6" w:history="1">
            <w:r w:rsidR="007F4C7C" w:rsidRPr="0052407B">
              <w:rPr>
                <w:rStyle w:val="Hipervnculo"/>
                <w:rFonts w:cs="Arial"/>
              </w:rPr>
              <w:t>3.4.</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Subtemas Más Reiterados</w:t>
            </w:r>
            <w:r w:rsidR="007F4C7C">
              <w:rPr>
                <w:webHidden/>
              </w:rPr>
              <w:tab/>
            </w:r>
            <w:r w:rsidR="007F4C7C">
              <w:rPr>
                <w:webHidden/>
              </w:rPr>
              <w:fldChar w:fldCharType="begin"/>
            </w:r>
            <w:r w:rsidR="007F4C7C">
              <w:rPr>
                <w:webHidden/>
              </w:rPr>
              <w:instrText xml:space="preserve"> PAGEREF _Toc16758366 \h </w:instrText>
            </w:r>
            <w:r w:rsidR="007F4C7C">
              <w:rPr>
                <w:webHidden/>
              </w:rPr>
            </w:r>
            <w:r w:rsidR="007F4C7C">
              <w:rPr>
                <w:webHidden/>
              </w:rPr>
              <w:fldChar w:fldCharType="separate"/>
            </w:r>
            <w:r w:rsidR="007720AA">
              <w:rPr>
                <w:webHidden/>
              </w:rPr>
              <w:t>9</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7" w:history="1">
            <w:r w:rsidR="007F4C7C" w:rsidRPr="0052407B">
              <w:rPr>
                <w:rStyle w:val="Hipervnculo"/>
                <w:rFonts w:cs="Arial"/>
              </w:rPr>
              <w:t>3.5.</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Número de PQRSD Traslado por No Competencia</w:t>
            </w:r>
            <w:r w:rsidR="007F4C7C">
              <w:rPr>
                <w:webHidden/>
              </w:rPr>
              <w:tab/>
            </w:r>
            <w:r w:rsidR="007F4C7C">
              <w:rPr>
                <w:webHidden/>
              </w:rPr>
              <w:fldChar w:fldCharType="begin"/>
            </w:r>
            <w:r w:rsidR="007F4C7C">
              <w:rPr>
                <w:webHidden/>
              </w:rPr>
              <w:instrText xml:space="preserve"> PAGEREF _Toc16758367 \h </w:instrText>
            </w:r>
            <w:r w:rsidR="007F4C7C">
              <w:rPr>
                <w:webHidden/>
              </w:rPr>
            </w:r>
            <w:r w:rsidR="007F4C7C">
              <w:rPr>
                <w:webHidden/>
              </w:rPr>
              <w:fldChar w:fldCharType="separate"/>
            </w:r>
            <w:r w:rsidR="007720AA">
              <w:rPr>
                <w:webHidden/>
              </w:rPr>
              <w:t>9</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8" w:history="1">
            <w:r w:rsidR="007F4C7C" w:rsidRPr="0052407B">
              <w:rPr>
                <w:rStyle w:val="Hipervnculo"/>
                <w:rFonts w:cs="Arial"/>
              </w:rPr>
              <w:t>3.6.</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Subtema Veedurías Ciudadanas</w:t>
            </w:r>
            <w:r w:rsidR="007F4C7C">
              <w:rPr>
                <w:webHidden/>
              </w:rPr>
              <w:tab/>
            </w:r>
            <w:r w:rsidR="007F4C7C">
              <w:rPr>
                <w:webHidden/>
              </w:rPr>
              <w:fldChar w:fldCharType="begin"/>
            </w:r>
            <w:r w:rsidR="007F4C7C">
              <w:rPr>
                <w:webHidden/>
              </w:rPr>
              <w:instrText xml:space="preserve"> PAGEREF _Toc16758368 \h </w:instrText>
            </w:r>
            <w:r w:rsidR="007F4C7C">
              <w:rPr>
                <w:webHidden/>
              </w:rPr>
            </w:r>
            <w:r w:rsidR="007F4C7C">
              <w:rPr>
                <w:webHidden/>
              </w:rPr>
              <w:fldChar w:fldCharType="separate"/>
            </w:r>
            <w:r w:rsidR="007720AA">
              <w:rPr>
                <w:webHidden/>
              </w:rPr>
              <w:t>10</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69" w:history="1">
            <w:r w:rsidR="007F4C7C" w:rsidRPr="0052407B">
              <w:rPr>
                <w:rStyle w:val="Hipervnculo"/>
                <w:rFonts w:cs="Arial"/>
              </w:rPr>
              <w:t>3.7.</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Participación por Localidad</w:t>
            </w:r>
            <w:r w:rsidR="007F4C7C">
              <w:rPr>
                <w:webHidden/>
              </w:rPr>
              <w:tab/>
            </w:r>
            <w:r w:rsidR="007F4C7C">
              <w:rPr>
                <w:webHidden/>
              </w:rPr>
              <w:fldChar w:fldCharType="begin"/>
            </w:r>
            <w:r w:rsidR="007F4C7C">
              <w:rPr>
                <w:webHidden/>
              </w:rPr>
              <w:instrText xml:space="preserve"> PAGEREF _Toc16758369 \h </w:instrText>
            </w:r>
            <w:r w:rsidR="007F4C7C">
              <w:rPr>
                <w:webHidden/>
              </w:rPr>
            </w:r>
            <w:r w:rsidR="007F4C7C">
              <w:rPr>
                <w:webHidden/>
              </w:rPr>
              <w:fldChar w:fldCharType="separate"/>
            </w:r>
            <w:r w:rsidR="007720AA">
              <w:rPr>
                <w:webHidden/>
              </w:rPr>
              <w:t>11</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0" w:history="1">
            <w:r w:rsidR="007F4C7C" w:rsidRPr="0052407B">
              <w:rPr>
                <w:rStyle w:val="Hipervnculo"/>
                <w:rFonts w:cs="Arial"/>
              </w:rPr>
              <w:t>3.8.</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Participación por Estrato Socioeconomico</w:t>
            </w:r>
            <w:r w:rsidR="007F4C7C">
              <w:rPr>
                <w:webHidden/>
              </w:rPr>
              <w:tab/>
            </w:r>
            <w:r w:rsidR="007F4C7C">
              <w:rPr>
                <w:webHidden/>
              </w:rPr>
              <w:fldChar w:fldCharType="begin"/>
            </w:r>
            <w:r w:rsidR="007F4C7C">
              <w:rPr>
                <w:webHidden/>
              </w:rPr>
              <w:instrText xml:space="preserve"> PAGEREF _Toc16758370 \h </w:instrText>
            </w:r>
            <w:r w:rsidR="007F4C7C">
              <w:rPr>
                <w:webHidden/>
              </w:rPr>
            </w:r>
            <w:r w:rsidR="007F4C7C">
              <w:rPr>
                <w:webHidden/>
              </w:rPr>
              <w:fldChar w:fldCharType="separate"/>
            </w:r>
            <w:r w:rsidR="007720AA">
              <w:rPr>
                <w:webHidden/>
              </w:rPr>
              <w:t>11</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1" w:history="1">
            <w:r w:rsidR="007F4C7C" w:rsidRPr="0052407B">
              <w:rPr>
                <w:rStyle w:val="Hipervnculo"/>
                <w:rFonts w:cs="Arial"/>
              </w:rPr>
              <w:t>3.9.</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Tipo de Requiriente</w:t>
            </w:r>
            <w:r w:rsidR="007F4C7C">
              <w:rPr>
                <w:webHidden/>
              </w:rPr>
              <w:tab/>
            </w:r>
            <w:r w:rsidR="007F4C7C">
              <w:rPr>
                <w:webHidden/>
              </w:rPr>
              <w:fldChar w:fldCharType="begin"/>
            </w:r>
            <w:r w:rsidR="007F4C7C">
              <w:rPr>
                <w:webHidden/>
              </w:rPr>
              <w:instrText xml:space="preserve"> PAGEREF _Toc16758371 \h </w:instrText>
            </w:r>
            <w:r w:rsidR="007F4C7C">
              <w:rPr>
                <w:webHidden/>
              </w:rPr>
            </w:r>
            <w:r w:rsidR="007F4C7C">
              <w:rPr>
                <w:webHidden/>
              </w:rPr>
              <w:fldChar w:fldCharType="separate"/>
            </w:r>
            <w:r w:rsidR="007720AA">
              <w:rPr>
                <w:webHidden/>
              </w:rPr>
              <w:t>12</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2" w:history="1">
            <w:r w:rsidR="007F4C7C" w:rsidRPr="0052407B">
              <w:rPr>
                <w:rStyle w:val="Hipervnculo"/>
              </w:rPr>
              <w:t>3.10.</w:t>
            </w:r>
            <w:r w:rsidR="007F4C7C">
              <w:rPr>
                <w:rFonts w:asciiTheme="minorHAnsi" w:eastAsiaTheme="minorEastAsia" w:hAnsiTheme="minorHAnsi" w:cstheme="minorBidi"/>
                <w:sz w:val="22"/>
                <w:szCs w:val="22"/>
                <w:lang w:val="es-CO" w:eastAsia="es-CO"/>
              </w:rPr>
              <w:tab/>
            </w:r>
            <w:r w:rsidR="007F4C7C" w:rsidRPr="0052407B">
              <w:rPr>
                <w:rStyle w:val="Hipervnculo"/>
              </w:rPr>
              <w:t>Calidad del Requiriente</w:t>
            </w:r>
            <w:r w:rsidR="007F4C7C">
              <w:rPr>
                <w:webHidden/>
              </w:rPr>
              <w:tab/>
            </w:r>
            <w:r w:rsidR="007F4C7C">
              <w:rPr>
                <w:webHidden/>
              </w:rPr>
              <w:fldChar w:fldCharType="begin"/>
            </w:r>
            <w:r w:rsidR="007F4C7C">
              <w:rPr>
                <w:webHidden/>
              </w:rPr>
              <w:instrText xml:space="preserve"> PAGEREF _Toc16758372 \h </w:instrText>
            </w:r>
            <w:r w:rsidR="007F4C7C">
              <w:rPr>
                <w:webHidden/>
              </w:rPr>
            </w:r>
            <w:r w:rsidR="007F4C7C">
              <w:rPr>
                <w:webHidden/>
              </w:rPr>
              <w:fldChar w:fldCharType="separate"/>
            </w:r>
            <w:r w:rsidR="007720AA">
              <w:rPr>
                <w:webHidden/>
              </w:rPr>
              <w:t>13</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3" w:history="1">
            <w:r w:rsidR="007F4C7C" w:rsidRPr="0052407B">
              <w:rPr>
                <w:rStyle w:val="Hipervnculo"/>
                <w:rFonts w:cs="Arial"/>
              </w:rPr>
              <w:t>3.11.</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Recomendaciones y Observaciones de la Ciudadanía</w:t>
            </w:r>
            <w:r w:rsidR="007F4C7C">
              <w:rPr>
                <w:webHidden/>
              </w:rPr>
              <w:tab/>
            </w:r>
            <w:r w:rsidR="007F4C7C">
              <w:rPr>
                <w:webHidden/>
              </w:rPr>
              <w:fldChar w:fldCharType="begin"/>
            </w:r>
            <w:r w:rsidR="007F4C7C">
              <w:rPr>
                <w:webHidden/>
              </w:rPr>
              <w:instrText xml:space="preserve"> PAGEREF _Toc16758373 \h </w:instrText>
            </w:r>
            <w:r w:rsidR="007F4C7C">
              <w:rPr>
                <w:webHidden/>
              </w:rPr>
            </w:r>
            <w:r w:rsidR="007F4C7C">
              <w:rPr>
                <w:webHidden/>
              </w:rPr>
              <w:fldChar w:fldCharType="separate"/>
            </w:r>
            <w:r w:rsidR="007720AA">
              <w:rPr>
                <w:webHidden/>
              </w:rPr>
              <w:t>13</w:t>
            </w:r>
            <w:r w:rsidR="007F4C7C">
              <w:rPr>
                <w:webHidden/>
              </w:rPr>
              <w:fldChar w:fldCharType="end"/>
            </w:r>
          </w:hyperlink>
        </w:p>
        <w:p w:rsidR="007F4C7C" w:rsidRDefault="00BD39A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758374" w:history="1">
            <w:r w:rsidR="007F4C7C" w:rsidRPr="0052407B">
              <w:rPr>
                <w:rStyle w:val="Hipervnculo"/>
                <w:rFonts w:cs="Arial"/>
                <w:noProof/>
              </w:rPr>
              <w:t>4.</w:t>
            </w:r>
            <w:r w:rsidR="007F4C7C">
              <w:rPr>
                <w:rFonts w:asciiTheme="minorHAnsi" w:eastAsiaTheme="minorEastAsia" w:hAnsiTheme="minorHAnsi" w:cstheme="minorBidi"/>
                <w:noProof/>
                <w:szCs w:val="22"/>
                <w:lang w:val="es-CO" w:eastAsia="es-CO"/>
              </w:rPr>
              <w:tab/>
            </w:r>
            <w:r w:rsidR="007F4C7C" w:rsidRPr="0052407B">
              <w:rPr>
                <w:rStyle w:val="Hipervnculo"/>
                <w:rFonts w:cs="Arial"/>
                <w:noProof/>
              </w:rPr>
              <w:t>OPORTUNIDAD DE RESPUESTA A LAS PQRSD EN EL PRIMER SEMESTRE</w:t>
            </w:r>
            <w:r w:rsidR="007F4C7C">
              <w:rPr>
                <w:noProof/>
                <w:webHidden/>
              </w:rPr>
              <w:tab/>
            </w:r>
            <w:r w:rsidR="007F4C7C">
              <w:rPr>
                <w:noProof/>
                <w:webHidden/>
              </w:rPr>
              <w:fldChar w:fldCharType="begin"/>
            </w:r>
            <w:r w:rsidR="007F4C7C">
              <w:rPr>
                <w:noProof/>
                <w:webHidden/>
              </w:rPr>
              <w:instrText xml:space="preserve"> PAGEREF _Toc16758374 \h </w:instrText>
            </w:r>
            <w:r w:rsidR="007F4C7C">
              <w:rPr>
                <w:noProof/>
                <w:webHidden/>
              </w:rPr>
            </w:r>
            <w:r w:rsidR="007F4C7C">
              <w:rPr>
                <w:noProof/>
                <w:webHidden/>
              </w:rPr>
              <w:fldChar w:fldCharType="separate"/>
            </w:r>
            <w:r w:rsidR="007720AA">
              <w:rPr>
                <w:noProof/>
                <w:webHidden/>
              </w:rPr>
              <w:t>14</w:t>
            </w:r>
            <w:r w:rsidR="007F4C7C">
              <w:rPr>
                <w:noProof/>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5" w:history="1">
            <w:r w:rsidR="007F4C7C" w:rsidRPr="0052407B">
              <w:rPr>
                <w:rStyle w:val="Hipervnculo"/>
                <w:rFonts w:cs="Arial"/>
              </w:rPr>
              <w:t>4.1.</w:t>
            </w:r>
            <w:r w:rsidR="007F4C7C">
              <w:rPr>
                <w:rFonts w:asciiTheme="minorHAnsi" w:eastAsiaTheme="minorEastAsia" w:hAnsiTheme="minorHAnsi" w:cstheme="minorBidi"/>
                <w:sz w:val="22"/>
                <w:szCs w:val="22"/>
                <w:lang w:val="es-CO" w:eastAsia="es-CO"/>
              </w:rPr>
              <w:tab/>
            </w:r>
            <w:r w:rsidR="007F4C7C" w:rsidRPr="0052407B">
              <w:rPr>
                <w:rStyle w:val="Hipervnculo"/>
                <w:rFonts w:cs="Arial"/>
              </w:rPr>
              <w:t>PQRSD Cerradas Presentadas en el Período Actual</w:t>
            </w:r>
            <w:r w:rsidR="007F4C7C">
              <w:rPr>
                <w:webHidden/>
              </w:rPr>
              <w:tab/>
            </w:r>
            <w:r w:rsidR="007F4C7C">
              <w:rPr>
                <w:webHidden/>
              </w:rPr>
              <w:fldChar w:fldCharType="begin"/>
            </w:r>
            <w:r w:rsidR="007F4C7C">
              <w:rPr>
                <w:webHidden/>
              </w:rPr>
              <w:instrText xml:space="preserve"> PAGEREF _Toc16758375 \h </w:instrText>
            </w:r>
            <w:r w:rsidR="007F4C7C">
              <w:rPr>
                <w:webHidden/>
              </w:rPr>
            </w:r>
            <w:r w:rsidR="007F4C7C">
              <w:rPr>
                <w:webHidden/>
              </w:rPr>
              <w:fldChar w:fldCharType="separate"/>
            </w:r>
            <w:r w:rsidR="007720AA">
              <w:rPr>
                <w:webHidden/>
              </w:rPr>
              <w:t>14</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6" w:history="1">
            <w:r w:rsidR="007F4C7C" w:rsidRPr="0052407B">
              <w:rPr>
                <w:rStyle w:val="Hipervnculo"/>
              </w:rPr>
              <w:t>4.2.</w:t>
            </w:r>
            <w:r w:rsidR="007F4C7C">
              <w:rPr>
                <w:rFonts w:asciiTheme="minorHAnsi" w:eastAsiaTheme="minorEastAsia" w:hAnsiTheme="minorHAnsi" w:cstheme="minorBidi"/>
                <w:sz w:val="22"/>
                <w:szCs w:val="22"/>
                <w:lang w:val="es-CO" w:eastAsia="es-CO"/>
              </w:rPr>
              <w:tab/>
            </w:r>
            <w:r w:rsidR="007F4C7C" w:rsidRPr="0052407B">
              <w:rPr>
                <w:rStyle w:val="Hipervnculo"/>
              </w:rPr>
              <w:t>PQRSD Cerradas Presentadas en los Periodo(s) Anterior(es)</w:t>
            </w:r>
            <w:r w:rsidR="007F4C7C">
              <w:rPr>
                <w:webHidden/>
              </w:rPr>
              <w:tab/>
            </w:r>
            <w:r w:rsidR="007F4C7C">
              <w:rPr>
                <w:webHidden/>
              </w:rPr>
              <w:fldChar w:fldCharType="begin"/>
            </w:r>
            <w:r w:rsidR="007F4C7C">
              <w:rPr>
                <w:webHidden/>
              </w:rPr>
              <w:instrText xml:space="preserve"> PAGEREF _Toc16758376 \h </w:instrText>
            </w:r>
            <w:r w:rsidR="007F4C7C">
              <w:rPr>
                <w:webHidden/>
              </w:rPr>
            </w:r>
            <w:r w:rsidR="007F4C7C">
              <w:rPr>
                <w:webHidden/>
              </w:rPr>
              <w:fldChar w:fldCharType="separate"/>
            </w:r>
            <w:r w:rsidR="007720AA">
              <w:rPr>
                <w:webHidden/>
              </w:rPr>
              <w:t>15</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7" w:history="1">
            <w:r w:rsidR="007F4C7C" w:rsidRPr="0052407B">
              <w:rPr>
                <w:rStyle w:val="Hipervnculo"/>
              </w:rPr>
              <w:t>4.3.</w:t>
            </w:r>
            <w:r w:rsidR="007F4C7C">
              <w:rPr>
                <w:rFonts w:asciiTheme="minorHAnsi" w:eastAsiaTheme="minorEastAsia" w:hAnsiTheme="minorHAnsi" w:cstheme="minorBidi"/>
                <w:sz w:val="22"/>
                <w:szCs w:val="22"/>
                <w:lang w:val="es-CO" w:eastAsia="es-CO"/>
              </w:rPr>
              <w:tab/>
            </w:r>
            <w:r w:rsidR="007F4C7C" w:rsidRPr="0052407B">
              <w:rPr>
                <w:rStyle w:val="Hipervnculo"/>
              </w:rPr>
              <w:t>Calculo del Tiempo Promedio de Respuesta por Tipología y Dependencia a las PQRSD</w:t>
            </w:r>
            <w:r w:rsidR="007F4C7C">
              <w:rPr>
                <w:webHidden/>
              </w:rPr>
              <w:tab/>
            </w:r>
            <w:r w:rsidR="007F4C7C">
              <w:rPr>
                <w:webHidden/>
              </w:rPr>
              <w:fldChar w:fldCharType="begin"/>
            </w:r>
            <w:r w:rsidR="007F4C7C">
              <w:rPr>
                <w:webHidden/>
              </w:rPr>
              <w:instrText xml:space="preserve"> PAGEREF _Toc16758377 \h </w:instrText>
            </w:r>
            <w:r w:rsidR="007F4C7C">
              <w:rPr>
                <w:webHidden/>
              </w:rPr>
            </w:r>
            <w:r w:rsidR="007F4C7C">
              <w:rPr>
                <w:webHidden/>
              </w:rPr>
              <w:fldChar w:fldCharType="separate"/>
            </w:r>
            <w:r w:rsidR="007720AA">
              <w:rPr>
                <w:webHidden/>
              </w:rPr>
              <w:t>16</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8" w:history="1">
            <w:r w:rsidR="007F4C7C" w:rsidRPr="0052407B">
              <w:rPr>
                <w:rStyle w:val="Hipervnculo"/>
              </w:rPr>
              <w:t>4.4.</w:t>
            </w:r>
            <w:r w:rsidR="007F4C7C">
              <w:rPr>
                <w:rFonts w:asciiTheme="minorHAnsi" w:eastAsiaTheme="minorEastAsia" w:hAnsiTheme="minorHAnsi" w:cstheme="minorBidi"/>
                <w:sz w:val="22"/>
                <w:szCs w:val="22"/>
                <w:lang w:val="es-CO" w:eastAsia="es-CO"/>
              </w:rPr>
              <w:tab/>
            </w:r>
            <w:r w:rsidR="007F4C7C" w:rsidRPr="0052407B">
              <w:rPr>
                <w:rStyle w:val="Hipervnculo"/>
              </w:rPr>
              <w:t>Análisis de las Respuestas con Cierre Oportuno</w:t>
            </w:r>
            <w:r w:rsidR="007F4C7C">
              <w:rPr>
                <w:webHidden/>
              </w:rPr>
              <w:tab/>
            </w:r>
            <w:r w:rsidR="007F4C7C">
              <w:rPr>
                <w:webHidden/>
              </w:rPr>
              <w:fldChar w:fldCharType="begin"/>
            </w:r>
            <w:r w:rsidR="007F4C7C">
              <w:rPr>
                <w:webHidden/>
              </w:rPr>
              <w:instrText xml:space="preserve"> PAGEREF _Toc16758378 \h </w:instrText>
            </w:r>
            <w:r w:rsidR="007F4C7C">
              <w:rPr>
                <w:webHidden/>
              </w:rPr>
            </w:r>
            <w:r w:rsidR="007F4C7C">
              <w:rPr>
                <w:webHidden/>
              </w:rPr>
              <w:fldChar w:fldCharType="separate"/>
            </w:r>
            <w:r w:rsidR="007720AA">
              <w:rPr>
                <w:webHidden/>
              </w:rPr>
              <w:t>18</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79" w:history="1">
            <w:r w:rsidR="007F4C7C" w:rsidRPr="0052407B">
              <w:rPr>
                <w:rStyle w:val="Hipervnculo"/>
              </w:rPr>
              <w:t>4.5.</w:t>
            </w:r>
            <w:r w:rsidR="007F4C7C">
              <w:rPr>
                <w:rFonts w:asciiTheme="minorHAnsi" w:eastAsiaTheme="minorEastAsia" w:hAnsiTheme="minorHAnsi" w:cstheme="minorBidi"/>
                <w:sz w:val="22"/>
                <w:szCs w:val="22"/>
                <w:lang w:val="es-CO" w:eastAsia="es-CO"/>
              </w:rPr>
              <w:tab/>
            </w:r>
            <w:r w:rsidR="007F4C7C" w:rsidRPr="0052407B">
              <w:rPr>
                <w:rStyle w:val="Hipervnculo"/>
              </w:rPr>
              <w:t>Análisis de las Respuestas con Cierre Inoportuno</w:t>
            </w:r>
            <w:r w:rsidR="007F4C7C">
              <w:rPr>
                <w:webHidden/>
              </w:rPr>
              <w:tab/>
            </w:r>
            <w:r w:rsidR="007F4C7C">
              <w:rPr>
                <w:webHidden/>
              </w:rPr>
              <w:fldChar w:fldCharType="begin"/>
            </w:r>
            <w:r w:rsidR="007F4C7C">
              <w:rPr>
                <w:webHidden/>
              </w:rPr>
              <w:instrText xml:space="preserve"> PAGEREF _Toc16758379 \h </w:instrText>
            </w:r>
            <w:r w:rsidR="007F4C7C">
              <w:rPr>
                <w:webHidden/>
              </w:rPr>
            </w:r>
            <w:r w:rsidR="007F4C7C">
              <w:rPr>
                <w:webHidden/>
              </w:rPr>
              <w:fldChar w:fldCharType="separate"/>
            </w:r>
            <w:r w:rsidR="007720AA">
              <w:rPr>
                <w:webHidden/>
              </w:rPr>
              <w:t>18</w:t>
            </w:r>
            <w:r w:rsidR="007F4C7C">
              <w:rPr>
                <w:webHidden/>
              </w:rPr>
              <w:fldChar w:fldCharType="end"/>
            </w:r>
          </w:hyperlink>
        </w:p>
        <w:p w:rsidR="007F4C7C" w:rsidRDefault="00BD39AE">
          <w:pPr>
            <w:pStyle w:val="TDC2"/>
            <w:rPr>
              <w:rFonts w:asciiTheme="minorHAnsi" w:eastAsiaTheme="minorEastAsia" w:hAnsiTheme="minorHAnsi" w:cstheme="minorBidi"/>
              <w:sz w:val="22"/>
              <w:szCs w:val="22"/>
              <w:lang w:val="es-CO" w:eastAsia="es-CO"/>
            </w:rPr>
          </w:pPr>
          <w:hyperlink w:anchor="_Toc16758380" w:history="1">
            <w:r w:rsidR="007F4C7C" w:rsidRPr="0052407B">
              <w:rPr>
                <w:rStyle w:val="Hipervnculo"/>
              </w:rPr>
              <w:t>4.6.</w:t>
            </w:r>
            <w:r w:rsidR="007F4C7C">
              <w:rPr>
                <w:rFonts w:asciiTheme="minorHAnsi" w:eastAsiaTheme="minorEastAsia" w:hAnsiTheme="minorHAnsi" w:cstheme="minorBidi"/>
                <w:sz w:val="22"/>
                <w:szCs w:val="22"/>
                <w:lang w:val="es-CO" w:eastAsia="es-CO"/>
              </w:rPr>
              <w:tab/>
            </w:r>
            <w:r w:rsidR="007F4C7C" w:rsidRPr="0052407B">
              <w:rPr>
                <w:rStyle w:val="Hipervnculo"/>
              </w:rPr>
              <w:t>Cálculo del Indicador</w:t>
            </w:r>
            <w:r w:rsidR="007F4C7C">
              <w:rPr>
                <w:webHidden/>
              </w:rPr>
              <w:tab/>
            </w:r>
            <w:r w:rsidR="007F4C7C">
              <w:rPr>
                <w:webHidden/>
              </w:rPr>
              <w:fldChar w:fldCharType="begin"/>
            </w:r>
            <w:r w:rsidR="007F4C7C">
              <w:rPr>
                <w:webHidden/>
              </w:rPr>
              <w:instrText xml:space="preserve"> PAGEREF _Toc16758380 \h </w:instrText>
            </w:r>
            <w:r w:rsidR="007F4C7C">
              <w:rPr>
                <w:webHidden/>
              </w:rPr>
            </w:r>
            <w:r w:rsidR="007F4C7C">
              <w:rPr>
                <w:webHidden/>
              </w:rPr>
              <w:fldChar w:fldCharType="separate"/>
            </w:r>
            <w:r w:rsidR="007720AA">
              <w:rPr>
                <w:webHidden/>
              </w:rPr>
              <w:t>26</w:t>
            </w:r>
            <w:r w:rsidR="007F4C7C">
              <w:rPr>
                <w:webHidden/>
              </w:rPr>
              <w:fldChar w:fldCharType="end"/>
            </w:r>
          </w:hyperlink>
        </w:p>
        <w:p w:rsidR="007F4C7C" w:rsidRDefault="00BD39AE">
          <w:pPr>
            <w:pStyle w:val="TDC1"/>
            <w:tabs>
              <w:tab w:val="left" w:pos="440"/>
              <w:tab w:val="right" w:leader="dot" w:pos="9395"/>
            </w:tabs>
            <w:rPr>
              <w:rFonts w:asciiTheme="minorHAnsi" w:eastAsiaTheme="minorEastAsia" w:hAnsiTheme="minorHAnsi" w:cstheme="minorBidi"/>
              <w:noProof/>
              <w:szCs w:val="22"/>
              <w:lang w:val="es-CO" w:eastAsia="es-CO"/>
            </w:rPr>
          </w:pPr>
          <w:hyperlink w:anchor="_Toc16758381" w:history="1">
            <w:r w:rsidR="007F4C7C" w:rsidRPr="0052407B">
              <w:rPr>
                <w:rStyle w:val="Hipervnculo"/>
                <w:rFonts w:cs="Arial"/>
                <w:noProof/>
              </w:rPr>
              <w:t>5.</w:t>
            </w:r>
            <w:r w:rsidR="007F4C7C">
              <w:rPr>
                <w:rFonts w:asciiTheme="minorHAnsi" w:eastAsiaTheme="minorEastAsia" w:hAnsiTheme="minorHAnsi" w:cstheme="minorBidi"/>
                <w:noProof/>
                <w:szCs w:val="22"/>
                <w:lang w:val="es-CO" w:eastAsia="es-CO"/>
              </w:rPr>
              <w:tab/>
            </w:r>
            <w:r w:rsidR="007F4C7C" w:rsidRPr="0052407B">
              <w:rPr>
                <w:rStyle w:val="Hipervnculo"/>
                <w:rFonts w:cs="Arial"/>
                <w:noProof/>
              </w:rPr>
              <w:t>CONCLUSIONES</w:t>
            </w:r>
            <w:r w:rsidR="007F4C7C">
              <w:rPr>
                <w:noProof/>
                <w:webHidden/>
              </w:rPr>
              <w:tab/>
            </w:r>
            <w:r w:rsidR="007F4C7C">
              <w:rPr>
                <w:noProof/>
                <w:webHidden/>
              </w:rPr>
              <w:fldChar w:fldCharType="begin"/>
            </w:r>
            <w:r w:rsidR="007F4C7C">
              <w:rPr>
                <w:noProof/>
                <w:webHidden/>
              </w:rPr>
              <w:instrText xml:space="preserve"> PAGEREF _Toc16758381 \h </w:instrText>
            </w:r>
            <w:r w:rsidR="007F4C7C">
              <w:rPr>
                <w:noProof/>
                <w:webHidden/>
              </w:rPr>
            </w:r>
            <w:r w:rsidR="007F4C7C">
              <w:rPr>
                <w:noProof/>
                <w:webHidden/>
              </w:rPr>
              <w:fldChar w:fldCharType="separate"/>
            </w:r>
            <w:r w:rsidR="007720AA">
              <w:rPr>
                <w:noProof/>
                <w:webHidden/>
              </w:rPr>
              <w:t>27</w:t>
            </w:r>
            <w:r w:rsidR="007F4C7C">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rsidR="004342AE" w:rsidRDefault="004342AE" w:rsidP="00DF7866">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w:t>
      </w:r>
      <w:r w:rsidR="00E622C5">
        <w:rPr>
          <w:rFonts w:ascii="Arial" w:hAnsi="Arial" w:cs="Arial"/>
          <w:sz w:val="24"/>
          <w:szCs w:val="24"/>
          <w:lang w:val="es-ES"/>
        </w:rPr>
        <w:t xml:space="preserve">primer semestre de 2019 y </w:t>
      </w:r>
      <w:r w:rsidRPr="00DF7866">
        <w:rPr>
          <w:rFonts w:ascii="Arial" w:hAnsi="Arial" w:cs="Arial"/>
          <w:sz w:val="24"/>
          <w:szCs w:val="24"/>
          <w:lang w:val="es-ES"/>
        </w:rPr>
        <w:t xml:space="preserve">las cuales tenían fecha límite de respuesta </w:t>
      </w:r>
      <w:r w:rsidR="00E622C5">
        <w:rPr>
          <w:rFonts w:ascii="Arial" w:hAnsi="Arial" w:cs="Arial"/>
          <w:sz w:val="24"/>
          <w:szCs w:val="24"/>
          <w:lang w:val="es-ES"/>
        </w:rPr>
        <w:t xml:space="preserve">en </w:t>
      </w:r>
      <w:r w:rsidRPr="00DF7866">
        <w:rPr>
          <w:rFonts w:ascii="Arial" w:hAnsi="Arial" w:cs="Arial"/>
          <w:sz w:val="24"/>
          <w:szCs w:val="24"/>
          <w:lang w:val="es-ES"/>
        </w:rPr>
        <w:t xml:space="preserve">el </w:t>
      </w:r>
      <w:r w:rsidR="00E622C5">
        <w:rPr>
          <w:rFonts w:ascii="Arial" w:hAnsi="Arial" w:cs="Arial"/>
          <w:sz w:val="24"/>
          <w:szCs w:val="24"/>
          <w:lang w:val="es-ES"/>
        </w:rPr>
        <w:t xml:space="preserve">mencionado periodo de </w:t>
      </w:r>
      <w:r w:rsidRPr="00DF7866">
        <w:rPr>
          <w:rFonts w:ascii="Arial" w:hAnsi="Arial" w:cs="Arial"/>
          <w:sz w:val="24"/>
          <w:szCs w:val="24"/>
          <w:lang w:val="es-ES"/>
        </w:rPr>
        <w:t>análisis.</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 en el tiempo que determina la ley.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5575B1">
        <w:rPr>
          <w:rFonts w:ascii="Arial" w:hAnsi="Arial" w:cs="Arial"/>
          <w:sz w:val="24"/>
          <w:szCs w:val="24"/>
          <w:lang w:val="es-ES"/>
        </w:rPr>
        <w:t>el primer semestre de 2019</w:t>
      </w:r>
      <w:r w:rsidR="00A46C1D">
        <w:rPr>
          <w:rFonts w:ascii="Arial" w:hAnsi="Arial" w:cs="Arial"/>
          <w:sz w:val="24"/>
          <w:szCs w:val="24"/>
          <w:lang w:val="es-ES"/>
        </w:rPr>
        <w:t>.</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fecha de inicio</w:t>
      </w:r>
      <w:r w:rsidR="000069B0">
        <w:rPr>
          <w:rFonts w:ascii="Arial" w:hAnsi="Arial" w:cs="Arial"/>
          <w:sz w:val="24"/>
          <w:szCs w:val="24"/>
          <w:lang w:val="es-ES"/>
        </w:rPr>
        <w:t xml:space="preserve"> determinada por la </w:t>
      </w:r>
      <w:r w:rsidRPr="00DF7866">
        <w:rPr>
          <w:rFonts w:ascii="Arial" w:hAnsi="Arial" w:cs="Arial"/>
          <w:sz w:val="24"/>
          <w:szCs w:val="24"/>
          <w:lang w:val="es-ES"/>
        </w:rPr>
        <w:t xml:space="preserve">ley,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w:t>
      </w:r>
      <w:r w:rsidR="000069B0">
        <w:rPr>
          <w:rFonts w:ascii="Arial" w:hAnsi="Arial" w:cs="Arial"/>
          <w:sz w:val="24"/>
          <w:szCs w:val="24"/>
          <w:lang w:val="es-ES"/>
        </w:rPr>
        <w:t>T</w:t>
      </w:r>
      <w:r w:rsidR="00202ACA">
        <w:rPr>
          <w:rFonts w:ascii="Arial" w:hAnsi="Arial" w:cs="Arial"/>
          <w:sz w:val="24"/>
          <w:szCs w:val="24"/>
          <w:lang w:val="es-ES"/>
        </w:rPr>
        <w:t xml:space="preserve">e </w:t>
      </w:r>
      <w:r w:rsidR="000069B0">
        <w:rPr>
          <w:rFonts w:ascii="Arial" w:hAnsi="Arial" w:cs="Arial"/>
          <w:sz w:val="24"/>
          <w:szCs w:val="24"/>
          <w:lang w:val="es-ES"/>
        </w:rPr>
        <w:t>E</w:t>
      </w:r>
      <w:r w:rsidR="00202ACA">
        <w:rPr>
          <w:rFonts w:ascii="Arial" w:hAnsi="Arial" w:cs="Arial"/>
          <w:sz w:val="24"/>
          <w:szCs w:val="24"/>
          <w:lang w:val="es-ES"/>
        </w:rPr>
        <w:t>scucha</w:t>
      </w:r>
      <w:r w:rsidRPr="00DF7866">
        <w:rPr>
          <w:rFonts w:ascii="Arial" w:hAnsi="Arial" w:cs="Arial"/>
          <w:sz w:val="24"/>
          <w:szCs w:val="24"/>
          <w:lang w:val="es-ES"/>
        </w:rPr>
        <w:t xml:space="preserve"> (</w:t>
      </w:r>
      <w:hyperlink r:id="rId9"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periodo</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periodo</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Pr="00DF7866" w:rsidRDefault="002F32AC"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A46C1D" w:rsidRPr="00DF7866"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3" w:name="_Toc16758360"/>
      <w:r w:rsidRPr="00DF7866">
        <w:rPr>
          <w:rFonts w:cs="Arial"/>
          <w:szCs w:val="24"/>
          <w:lang w:val="es-ES"/>
        </w:rPr>
        <w:lastRenderedPageBreak/>
        <w:t>OBJETIVO Y ALCANCE</w:t>
      </w:r>
      <w:bookmarkEnd w:id="3"/>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El análisis que se realiza es a las PQRSD interpuestas </w:t>
      </w:r>
      <w:r w:rsidR="00C102EC">
        <w:rPr>
          <w:rFonts w:ascii="Arial" w:hAnsi="Arial" w:cs="Arial"/>
          <w:sz w:val="24"/>
          <w:szCs w:val="24"/>
          <w:lang w:val="es-ES"/>
        </w:rPr>
        <w:t>el primer semestre d</w:t>
      </w:r>
      <w:r w:rsidR="00AC4452">
        <w:rPr>
          <w:rFonts w:ascii="Arial" w:hAnsi="Arial" w:cs="Arial"/>
          <w:sz w:val="24"/>
          <w:szCs w:val="24"/>
          <w:lang w:val="es-ES"/>
        </w:rPr>
        <w:t>e 2019</w:t>
      </w:r>
      <w:r w:rsidRPr="00DF7866">
        <w:rPr>
          <w:rFonts w:ascii="Arial" w:hAnsi="Arial" w:cs="Arial"/>
          <w:sz w:val="24"/>
          <w:szCs w:val="24"/>
          <w:lang w:val="es-ES"/>
        </w:rPr>
        <w:t xml:space="preserve">, las cuales tienen vencimiento de ley en </w:t>
      </w:r>
      <w:r w:rsidR="00C102EC">
        <w:rPr>
          <w:rFonts w:ascii="Arial" w:hAnsi="Arial" w:cs="Arial"/>
          <w:sz w:val="24"/>
          <w:szCs w:val="24"/>
          <w:lang w:val="es-ES"/>
        </w:rPr>
        <w:t>el mencionado periodo.</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4" w:name="_Toc16758361"/>
      <w:r w:rsidRPr="00DF7866">
        <w:rPr>
          <w:rFonts w:cs="Arial"/>
          <w:szCs w:val="24"/>
          <w:lang w:val="es-ES"/>
        </w:rPr>
        <w:t>METODOLOGÍA</w:t>
      </w:r>
      <w:bookmarkEnd w:id="4"/>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w:t>
      </w:r>
      <w:r w:rsidR="00F05FEF">
        <w:rPr>
          <w:rFonts w:ascii="Arial" w:hAnsi="Arial" w:cs="Arial"/>
          <w:sz w:val="24"/>
          <w:szCs w:val="24"/>
          <w:lang w:val="es-ES"/>
        </w:rPr>
        <w:t>e</w:t>
      </w:r>
      <w:r w:rsidRPr="00DF7866">
        <w:rPr>
          <w:rFonts w:ascii="Arial" w:hAnsi="Arial" w:cs="Arial"/>
          <w:sz w:val="24"/>
          <w:szCs w:val="24"/>
          <w:lang w:val="es-ES"/>
        </w:rPr>
        <w:t>l</w:t>
      </w:r>
      <w:r w:rsidR="00F05FEF">
        <w:rPr>
          <w:rFonts w:ascii="Arial" w:hAnsi="Arial" w:cs="Arial"/>
          <w:sz w:val="24"/>
          <w:szCs w:val="24"/>
          <w:lang w:val="es-ES"/>
        </w:rPr>
        <w:t xml:space="preserve"> primer semestre de</w:t>
      </w:r>
      <w:r w:rsidR="00E33B59">
        <w:rPr>
          <w:rFonts w:ascii="Arial" w:hAnsi="Arial" w:cs="Arial"/>
          <w:sz w:val="24"/>
          <w:szCs w:val="24"/>
          <w:lang w:val="es-ES"/>
        </w:rPr>
        <w:t xml:space="preserv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De esta información se selecciona el 100% de las PQRSD que se presentaron en dicho</w:t>
      </w:r>
      <w:r w:rsidR="00F05FEF">
        <w:rPr>
          <w:rFonts w:ascii="Arial" w:hAnsi="Arial" w:cs="Arial"/>
          <w:sz w:val="24"/>
          <w:szCs w:val="24"/>
          <w:lang w:val="es-ES"/>
        </w:rPr>
        <w:t xml:space="preserve"> periodo</w:t>
      </w:r>
      <w:r w:rsidRPr="00DF7866">
        <w:rPr>
          <w:rFonts w:ascii="Arial" w:hAnsi="Arial" w:cs="Arial"/>
          <w:sz w:val="24"/>
          <w:szCs w:val="24"/>
          <w:lang w:val="es-ES"/>
        </w:rPr>
        <w:t xml:space="preserve">. Esto con el objetivo de identificar las que tenían vencimiento </w:t>
      </w:r>
      <w:r w:rsidR="00C71686">
        <w:rPr>
          <w:rFonts w:ascii="Arial" w:hAnsi="Arial" w:cs="Arial"/>
          <w:sz w:val="24"/>
          <w:szCs w:val="24"/>
          <w:lang w:val="es-ES"/>
        </w:rPr>
        <w:t xml:space="preserve">y </w:t>
      </w:r>
      <w:r w:rsidRPr="00DF7866">
        <w:rPr>
          <w:rFonts w:ascii="Arial" w:hAnsi="Arial" w:cs="Arial"/>
          <w:sz w:val="24"/>
          <w:szCs w:val="24"/>
          <w:lang w:val="es-ES"/>
        </w:rPr>
        <w:t>fueron solucionadas atendiendo los tiempos que determina la ley</w:t>
      </w:r>
      <w:r w:rsidR="00C71686">
        <w:rPr>
          <w:rFonts w:ascii="Arial" w:hAnsi="Arial" w:cs="Arial"/>
          <w:sz w:val="24"/>
          <w:szCs w:val="24"/>
          <w:lang w:val="es-ES"/>
        </w:rPr>
        <w:t xml:space="preserve">, </w:t>
      </w:r>
      <w:r w:rsidRPr="00DF7866">
        <w:rPr>
          <w:rFonts w:ascii="Arial" w:hAnsi="Arial" w:cs="Arial"/>
          <w:sz w:val="24"/>
          <w:szCs w:val="24"/>
          <w:lang w:val="es-ES"/>
        </w:rPr>
        <w:t xml:space="preserve">las que se solucionaron de manera anticipada; así estas últimas no existirá obligatoriedad legal de resolverla en el mismo </w:t>
      </w:r>
      <w:r w:rsidR="00C71686">
        <w:rPr>
          <w:rFonts w:ascii="Arial" w:hAnsi="Arial" w:cs="Arial"/>
          <w:sz w:val="24"/>
          <w:szCs w:val="24"/>
          <w:lang w:val="es-ES"/>
        </w:rPr>
        <w:t>periodo de presentación.</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2855CD" w:rsidRDefault="002855CD" w:rsidP="00EF1BFD">
      <w:pPr>
        <w:spacing w:after="0" w:line="240" w:lineRule="auto"/>
        <w:jc w:val="both"/>
        <w:rPr>
          <w:rFonts w:ascii="Arial" w:hAnsi="Arial" w:cs="Arial"/>
          <w:sz w:val="24"/>
          <w:szCs w:val="24"/>
          <w:lang w:val="es-ES"/>
        </w:rPr>
      </w:pPr>
    </w:p>
    <w:p w:rsidR="002855CD" w:rsidRDefault="002855CD" w:rsidP="00EF1BFD">
      <w:pPr>
        <w:spacing w:after="0" w:line="240" w:lineRule="auto"/>
        <w:jc w:val="both"/>
        <w:rPr>
          <w:rFonts w:ascii="Arial" w:hAnsi="Arial" w:cs="Arial"/>
          <w:sz w:val="24"/>
          <w:szCs w:val="24"/>
          <w:lang w:val="es-ES"/>
        </w:rPr>
      </w:pPr>
    </w:p>
    <w:p w:rsidR="002855CD" w:rsidRPr="00DF7866" w:rsidRDefault="002855CD" w:rsidP="00EF1BFD">
      <w:pPr>
        <w:spacing w:after="0" w:line="240" w:lineRule="auto"/>
        <w:jc w:val="both"/>
        <w:rPr>
          <w:rFonts w:ascii="Arial" w:hAnsi="Arial" w:cs="Arial"/>
          <w:sz w:val="24"/>
          <w:szCs w:val="24"/>
          <w:lang w:val="es-ES"/>
        </w:rPr>
      </w:pPr>
    </w:p>
    <w:p w:rsidR="00E505E3" w:rsidRPr="00DF7866" w:rsidRDefault="004F7E45" w:rsidP="00EF1BFD">
      <w:pPr>
        <w:pStyle w:val="Ttulo1"/>
        <w:spacing w:before="0" w:after="0" w:line="240" w:lineRule="auto"/>
        <w:jc w:val="left"/>
        <w:rPr>
          <w:rFonts w:cs="Arial"/>
          <w:szCs w:val="24"/>
        </w:rPr>
      </w:pPr>
      <w:bookmarkStart w:id="5" w:name="_Toc520889930"/>
      <w:bookmarkStart w:id="6" w:name="_Toc16758362"/>
      <w:r w:rsidRPr="00DF7866">
        <w:rPr>
          <w:rFonts w:cs="Arial"/>
          <w:szCs w:val="24"/>
        </w:rPr>
        <w:lastRenderedPageBreak/>
        <w:t xml:space="preserve">GESTION DE LAS PQRSD RECIBIDAS EN EL </w:t>
      </w:r>
      <w:r w:rsidR="00E51068">
        <w:rPr>
          <w:rFonts w:cs="Arial"/>
          <w:szCs w:val="24"/>
        </w:rPr>
        <w:t>PRIMER SEMESTRE</w:t>
      </w:r>
      <w:bookmarkEnd w:id="5"/>
      <w:r w:rsidR="00E51068">
        <w:rPr>
          <w:rFonts w:cs="Arial"/>
          <w:szCs w:val="24"/>
        </w:rPr>
        <w:t xml:space="preserve"> 2019</w:t>
      </w:r>
      <w:bookmarkEnd w:id="6"/>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7" w:name="_Toc16758363"/>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6A4255" w:rsidRDefault="00277B06"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sidR="00195DE0">
        <w:rPr>
          <w:rFonts w:ascii="Arial" w:hAnsi="Arial" w:cs="Arial"/>
          <w:sz w:val="24"/>
          <w:szCs w:val="24"/>
          <w:lang w:val="es-ES"/>
        </w:rPr>
        <w:t xml:space="preserve"> el periodo comprendido entre enero y </w:t>
      </w:r>
      <w:r>
        <w:rPr>
          <w:rFonts w:ascii="Arial" w:hAnsi="Arial" w:cs="Arial"/>
          <w:sz w:val="24"/>
          <w:szCs w:val="24"/>
          <w:lang w:val="es-ES"/>
        </w:rPr>
        <w:t xml:space="preserve">junio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C52B0B">
        <w:rPr>
          <w:rFonts w:ascii="Arial" w:hAnsi="Arial" w:cs="Arial"/>
          <w:sz w:val="24"/>
          <w:szCs w:val="24"/>
          <w:lang w:val="es-ES"/>
        </w:rPr>
        <w:t>2</w:t>
      </w:r>
      <w:r w:rsidR="00E81EC1">
        <w:rPr>
          <w:rFonts w:ascii="Arial" w:hAnsi="Arial" w:cs="Arial"/>
          <w:sz w:val="24"/>
          <w:szCs w:val="24"/>
          <w:lang w:val="es-ES"/>
        </w:rPr>
        <w:t>.</w:t>
      </w:r>
      <w:r w:rsidR="00C52B0B">
        <w:rPr>
          <w:rFonts w:ascii="Arial" w:hAnsi="Arial" w:cs="Arial"/>
          <w:sz w:val="24"/>
          <w:szCs w:val="24"/>
          <w:lang w:val="es-ES"/>
        </w:rPr>
        <w:t>187</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Pr="00277B06">
        <w:rPr>
          <w:rFonts w:ascii="Arial" w:hAnsi="Arial" w:cs="Arial"/>
          <w:sz w:val="24"/>
          <w:szCs w:val="24"/>
          <w:lang w:val="es-ES"/>
        </w:rPr>
        <w:t>4</w:t>
      </w:r>
      <w:r w:rsidR="00B9646A">
        <w:rPr>
          <w:rFonts w:ascii="Arial" w:hAnsi="Arial" w:cs="Arial"/>
          <w:sz w:val="24"/>
          <w:szCs w:val="24"/>
          <w:lang w:val="es-ES"/>
        </w:rPr>
        <w:t>9,47</w:t>
      </w:r>
      <w:r w:rsidRPr="00DF7866">
        <w:rPr>
          <w:rFonts w:ascii="Arial" w:hAnsi="Arial" w:cs="Arial"/>
          <w:sz w:val="24"/>
          <w:szCs w:val="24"/>
          <w:lang w:val="es-ES"/>
        </w:rPr>
        <w:t>% (</w:t>
      </w:r>
      <w:r w:rsidR="00B9646A">
        <w:rPr>
          <w:rFonts w:ascii="Arial" w:hAnsi="Arial" w:cs="Arial"/>
          <w:sz w:val="24"/>
          <w:szCs w:val="24"/>
          <w:lang w:val="es-ES"/>
        </w:rPr>
        <w:t>1.082</w:t>
      </w:r>
      <w:r w:rsidRPr="00DF7866">
        <w:rPr>
          <w:rFonts w:ascii="Arial" w:hAnsi="Arial" w:cs="Arial"/>
          <w:sz w:val="24"/>
          <w:szCs w:val="24"/>
          <w:lang w:val="es-ES"/>
        </w:rPr>
        <w:t>) se recibió durante los primeros 15 días de</w:t>
      </w:r>
      <w:r w:rsidR="00B9646A">
        <w:rPr>
          <w:rFonts w:ascii="Arial" w:hAnsi="Arial" w:cs="Arial"/>
          <w:sz w:val="24"/>
          <w:szCs w:val="24"/>
          <w:lang w:val="es-ES"/>
        </w:rPr>
        <w:t xml:space="preserve"> sus respectivos m</w:t>
      </w:r>
      <w:r w:rsidRPr="00DF7866">
        <w:rPr>
          <w:rFonts w:ascii="Arial" w:hAnsi="Arial" w:cs="Arial"/>
          <w:sz w:val="24"/>
          <w:szCs w:val="24"/>
          <w:lang w:val="es-ES"/>
        </w:rPr>
        <w:t>es</w:t>
      </w:r>
      <w:r w:rsidR="00B9646A">
        <w:rPr>
          <w:rFonts w:ascii="Arial" w:hAnsi="Arial" w:cs="Arial"/>
          <w:sz w:val="24"/>
          <w:szCs w:val="24"/>
          <w:lang w:val="es-ES"/>
        </w:rPr>
        <w:t>es</w:t>
      </w:r>
      <w:r w:rsidRPr="00DF7866">
        <w:rPr>
          <w:rFonts w:ascii="Arial" w:hAnsi="Arial" w:cs="Arial"/>
          <w:sz w:val="24"/>
          <w:szCs w:val="24"/>
          <w:lang w:val="es-ES"/>
        </w:rPr>
        <w:t xml:space="preserve"> y para la segunda mitad </w:t>
      </w:r>
      <w:r w:rsidR="00B9646A">
        <w:rPr>
          <w:rFonts w:ascii="Arial" w:hAnsi="Arial" w:cs="Arial"/>
          <w:sz w:val="24"/>
          <w:szCs w:val="24"/>
          <w:lang w:val="es-ES"/>
        </w:rPr>
        <w:t xml:space="preserve">de sus respectivos meses </w:t>
      </w:r>
      <w:r w:rsidRPr="00DF7866">
        <w:rPr>
          <w:rFonts w:ascii="Arial" w:hAnsi="Arial" w:cs="Arial"/>
          <w:sz w:val="24"/>
          <w:szCs w:val="24"/>
          <w:lang w:val="es-ES"/>
        </w:rPr>
        <w:t>se recibió el</w:t>
      </w:r>
      <w:r w:rsidRPr="000A0909">
        <w:rPr>
          <w:rFonts w:ascii="Arial" w:hAnsi="Arial" w:cs="Arial"/>
          <w:sz w:val="24"/>
          <w:szCs w:val="24"/>
          <w:lang w:val="es-ES"/>
        </w:rPr>
        <w:t xml:space="preserve"> </w:t>
      </w:r>
      <w:r w:rsidR="00B9646A">
        <w:rPr>
          <w:rFonts w:ascii="Arial" w:hAnsi="Arial" w:cs="Arial"/>
          <w:sz w:val="24"/>
          <w:szCs w:val="24"/>
          <w:lang w:val="es-ES"/>
        </w:rPr>
        <w:t>50,53</w:t>
      </w:r>
      <w:r w:rsidRPr="00DF7866">
        <w:rPr>
          <w:rFonts w:ascii="Arial" w:hAnsi="Arial" w:cs="Arial"/>
          <w:sz w:val="24"/>
          <w:szCs w:val="24"/>
          <w:lang w:val="es-ES"/>
        </w:rPr>
        <w:t>% (</w:t>
      </w:r>
      <w:r w:rsidR="00B9646A">
        <w:rPr>
          <w:rFonts w:ascii="Arial" w:hAnsi="Arial" w:cs="Arial"/>
          <w:sz w:val="24"/>
          <w:szCs w:val="24"/>
          <w:lang w:val="es-ES"/>
        </w:rPr>
        <w:t>1.105</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sidR="008D1A2F">
        <w:rPr>
          <w:rFonts w:ascii="Arial" w:hAnsi="Arial" w:cs="Arial"/>
          <w:sz w:val="24"/>
          <w:szCs w:val="24"/>
          <w:lang w:val="es-ES"/>
        </w:rPr>
        <w:t xml:space="preserve"> leve incremento </w:t>
      </w:r>
      <w:r w:rsidR="00E81EC1" w:rsidRPr="00DF7866">
        <w:rPr>
          <w:rFonts w:ascii="Arial" w:hAnsi="Arial" w:cs="Arial"/>
          <w:sz w:val="24"/>
          <w:szCs w:val="24"/>
          <w:lang w:val="es-ES"/>
        </w:rPr>
        <w:t xml:space="preserve">del </w:t>
      </w:r>
      <w:r w:rsidR="00E81EC1">
        <w:rPr>
          <w:rFonts w:ascii="Arial" w:hAnsi="Arial" w:cs="Arial"/>
          <w:sz w:val="24"/>
          <w:szCs w:val="24"/>
          <w:lang w:val="es-ES"/>
        </w:rPr>
        <w:t xml:space="preserve">103,40% </w:t>
      </w:r>
      <w:r>
        <w:rPr>
          <w:rFonts w:ascii="Arial" w:hAnsi="Arial" w:cs="Arial"/>
          <w:sz w:val="24"/>
          <w:szCs w:val="24"/>
          <w:lang w:val="es-ES"/>
        </w:rPr>
        <w:t>e</w:t>
      </w:r>
      <w:r w:rsidRPr="00DF7866">
        <w:rPr>
          <w:rFonts w:ascii="Arial" w:hAnsi="Arial" w:cs="Arial"/>
          <w:sz w:val="24"/>
          <w:szCs w:val="24"/>
          <w:lang w:val="es-ES"/>
        </w:rPr>
        <w:t xml:space="preserve">n la recepción de PQRSD frente al </w:t>
      </w:r>
      <w:r w:rsidR="008D1A2F">
        <w:rPr>
          <w:rFonts w:ascii="Arial" w:hAnsi="Arial" w:cs="Arial"/>
          <w:sz w:val="24"/>
          <w:szCs w:val="24"/>
          <w:lang w:val="es-ES"/>
        </w:rPr>
        <w:t xml:space="preserve">mismo periodo del año </w:t>
      </w:r>
      <w:r w:rsidR="00E81EC1">
        <w:rPr>
          <w:rFonts w:ascii="Arial" w:hAnsi="Arial" w:cs="Arial"/>
          <w:sz w:val="24"/>
          <w:szCs w:val="24"/>
          <w:lang w:val="es-ES"/>
        </w:rPr>
        <w:t xml:space="preserve">inmediatamente </w:t>
      </w:r>
      <w:r w:rsidR="008D1A2F">
        <w:rPr>
          <w:rFonts w:ascii="Arial" w:hAnsi="Arial" w:cs="Arial"/>
          <w:sz w:val="24"/>
          <w:szCs w:val="24"/>
          <w:lang w:val="es-ES"/>
        </w:rPr>
        <w:t xml:space="preserve">anterior </w:t>
      </w:r>
      <w:r w:rsidRPr="00DF7866">
        <w:rPr>
          <w:rFonts w:ascii="Arial" w:hAnsi="Arial" w:cs="Arial"/>
          <w:sz w:val="24"/>
          <w:szCs w:val="24"/>
          <w:lang w:val="es-ES"/>
        </w:rPr>
        <w:t>(</w:t>
      </w:r>
      <w:r w:rsidR="008D1A2F">
        <w:rPr>
          <w:rFonts w:ascii="Arial" w:hAnsi="Arial" w:cs="Arial"/>
          <w:sz w:val="24"/>
          <w:szCs w:val="24"/>
          <w:lang w:val="es-ES"/>
        </w:rPr>
        <w:t>201</w:t>
      </w:r>
      <w:r w:rsidR="00E81EC1">
        <w:rPr>
          <w:rFonts w:ascii="Arial" w:hAnsi="Arial" w:cs="Arial"/>
          <w:sz w:val="24"/>
          <w:szCs w:val="24"/>
          <w:lang w:val="es-ES"/>
        </w:rPr>
        <w:t>8</w:t>
      </w:r>
      <w:r w:rsidRPr="00DF7866">
        <w:rPr>
          <w:rFonts w:ascii="Arial" w:hAnsi="Arial" w:cs="Arial"/>
          <w:sz w:val="24"/>
          <w:szCs w:val="24"/>
          <w:lang w:val="es-ES"/>
        </w:rPr>
        <w:t>)</w:t>
      </w:r>
      <w:r w:rsidR="00E81EC1">
        <w:rPr>
          <w:rFonts w:ascii="Arial" w:hAnsi="Arial" w:cs="Arial"/>
          <w:sz w:val="24"/>
          <w:szCs w:val="24"/>
          <w:lang w:val="es-ES"/>
        </w:rPr>
        <w:t xml:space="preserve">. Todas las PQRSD </w:t>
      </w:r>
      <w:r w:rsidRPr="00DF7866">
        <w:rPr>
          <w:rFonts w:ascii="Arial" w:hAnsi="Arial" w:cs="Arial"/>
          <w:sz w:val="24"/>
          <w:szCs w:val="24"/>
          <w:lang w:val="es-ES"/>
        </w:rPr>
        <w:t xml:space="preserve">fueron ingresadas en el Sistema Distrital de Quejas y Soluciones (SDQS), cumpliendo el Decreto 371 de </w:t>
      </w:r>
      <w:r w:rsidR="001971BE" w:rsidRPr="00DF7866">
        <w:rPr>
          <w:rFonts w:ascii="Arial" w:hAnsi="Arial" w:cs="Arial"/>
          <w:sz w:val="24"/>
          <w:szCs w:val="24"/>
          <w:lang w:val="es-ES"/>
        </w:rPr>
        <w:t>2010.</w:t>
      </w:r>
      <w:r w:rsidR="001971BE">
        <w:t xml:space="preserve">‬ </w:t>
      </w:r>
      <w:r w:rsidR="001971BE">
        <w:t>‬</w:t>
      </w:r>
      <w:r w:rsidR="00F629B4">
        <w:t>‬</w:t>
      </w:r>
      <w:r w:rsidR="0001597E">
        <w:t>‬</w:t>
      </w:r>
      <w:r w:rsidR="00C52B0B">
        <w:t>‬</w:t>
      </w:r>
    </w:p>
    <w:p w:rsidR="008B04BB" w:rsidRDefault="008B04BB" w:rsidP="00EF1BFD">
      <w:pPr>
        <w:spacing w:after="0" w:line="240" w:lineRule="auto"/>
        <w:jc w:val="both"/>
      </w:pPr>
    </w:p>
    <w:p w:rsidR="005C5903" w:rsidRDefault="009D7FF2" w:rsidP="00EF1BFD">
      <w:pPr>
        <w:spacing w:after="0" w:line="240" w:lineRule="auto"/>
        <w:jc w:val="both"/>
      </w:pPr>
      <w:r w:rsidRPr="00266497">
        <w:rPr>
          <w:noProof/>
          <w:color w:val="0D0D0D" w:themeColor="text1" w:themeTint="F2"/>
          <w:lang w:eastAsia="es-CO"/>
        </w:rPr>
        <w:drawing>
          <wp:inline distT="0" distB="0" distL="0" distR="0" wp14:anchorId="35849C54" wp14:editId="3B6E208D">
            <wp:extent cx="5924550" cy="3714750"/>
            <wp:effectExtent l="0" t="0" r="0" b="0"/>
            <wp:docPr id="16" name="Gráfico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9AF4923-6432-4673-934F-656BDD24B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497" w:rsidRDefault="00266497" w:rsidP="00266497">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5C5903" w:rsidRDefault="005C5903" w:rsidP="00EF1BFD">
      <w:pPr>
        <w:spacing w:after="0" w:line="240" w:lineRule="auto"/>
        <w:jc w:val="both"/>
      </w:pPr>
    </w:p>
    <w:p w:rsidR="00202ACA" w:rsidRDefault="008B04BB"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recibidas en </w:t>
      </w:r>
      <w:r w:rsidR="004A22B2">
        <w:rPr>
          <w:rFonts w:ascii="Arial" w:hAnsi="Arial" w:cs="Arial"/>
          <w:sz w:val="24"/>
          <w:szCs w:val="24"/>
          <w:lang w:val="es-ES"/>
        </w:rPr>
        <w:t>el p</w:t>
      </w:r>
      <w:r w:rsidR="006914BD">
        <w:rPr>
          <w:rFonts w:ascii="Arial" w:hAnsi="Arial" w:cs="Arial"/>
          <w:sz w:val="24"/>
          <w:szCs w:val="24"/>
          <w:lang w:val="es-ES"/>
        </w:rPr>
        <w:t xml:space="preserve">rimer semestre de 2019, </w:t>
      </w:r>
      <w:r w:rsidR="005251E0">
        <w:rPr>
          <w:rFonts w:ascii="Arial" w:hAnsi="Arial" w:cs="Arial"/>
          <w:sz w:val="24"/>
          <w:szCs w:val="24"/>
          <w:lang w:val="es-ES"/>
        </w:rPr>
        <w:t>603</w:t>
      </w:r>
      <w:r>
        <w:rPr>
          <w:rFonts w:ascii="Arial" w:hAnsi="Arial" w:cs="Arial"/>
          <w:sz w:val="24"/>
          <w:szCs w:val="24"/>
          <w:lang w:val="es-ES"/>
        </w:rPr>
        <w:t xml:space="preserve"> </w:t>
      </w:r>
      <w:r w:rsidRPr="00DF7866">
        <w:rPr>
          <w:rFonts w:ascii="Arial" w:hAnsi="Arial" w:cs="Arial"/>
          <w:sz w:val="24"/>
          <w:szCs w:val="24"/>
          <w:lang w:val="es-ES"/>
        </w:rPr>
        <w:t>(</w:t>
      </w:r>
      <w:r w:rsidR="00257395" w:rsidRPr="00257395">
        <w:rPr>
          <w:rFonts w:ascii="Arial" w:hAnsi="Arial" w:cs="Arial"/>
          <w:sz w:val="24"/>
          <w:szCs w:val="24"/>
          <w:lang w:val="es-ES"/>
        </w:rPr>
        <w:t>27,57</w:t>
      </w:r>
      <w:r w:rsidRPr="00DF7866">
        <w:rPr>
          <w:rFonts w:ascii="Arial" w:hAnsi="Arial" w:cs="Arial"/>
          <w:sz w:val="24"/>
          <w:szCs w:val="24"/>
          <w:lang w:val="es-ES"/>
        </w:rPr>
        <w:t>%) PQRSD la norma determina que se deb</w:t>
      </w:r>
      <w:r w:rsidR="00257395">
        <w:rPr>
          <w:rFonts w:ascii="Arial" w:hAnsi="Arial" w:cs="Arial"/>
          <w:sz w:val="24"/>
          <w:szCs w:val="24"/>
          <w:lang w:val="es-ES"/>
        </w:rPr>
        <w:t>ían r</w:t>
      </w:r>
      <w:r w:rsidRPr="00DF7866">
        <w:rPr>
          <w:rFonts w:ascii="Arial" w:hAnsi="Arial" w:cs="Arial"/>
          <w:sz w:val="24"/>
          <w:szCs w:val="24"/>
          <w:lang w:val="es-ES"/>
        </w:rPr>
        <w:t xml:space="preserve">esponder </w:t>
      </w:r>
      <w:r w:rsidR="00257395">
        <w:rPr>
          <w:rFonts w:ascii="Arial" w:hAnsi="Arial" w:cs="Arial"/>
          <w:sz w:val="24"/>
          <w:szCs w:val="24"/>
          <w:lang w:val="es-ES"/>
        </w:rPr>
        <w:t xml:space="preserve">dentro del </w:t>
      </w:r>
      <w:r w:rsidRPr="00DF7866">
        <w:rPr>
          <w:rFonts w:ascii="Arial" w:hAnsi="Arial" w:cs="Arial"/>
          <w:sz w:val="24"/>
          <w:szCs w:val="24"/>
          <w:lang w:val="es-ES"/>
        </w:rPr>
        <w:t xml:space="preserve">mismo periodo </w:t>
      </w:r>
      <w:r w:rsidR="00257395">
        <w:rPr>
          <w:rFonts w:ascii="Arial" w:hAnsi="Arial" w:cs="Arial"/>
          <w:sz w:val="24"/>
          <w:szCs w:val="24"/>
          <w:lang w:val="es-ES"/>
        </w:rPr>
        <w:t xml:space="preserve">(mensual) </w:t>
      </w:r>
      <w:r w:rsidRPr="00DF7866">
        <w:rPr>
          <w:rFonts w:ascii="Arial" w:hAnsi="Arial" w:cs="Arial"/>
          <w:sz w:val="24"/>
          <w:szCs w:val="24"/>
          <w:lang w:val="es-ES"/>
        </w:rPr>
        <w:t>de</w:t>
      </w:r>
      <w:r w:rsidR="00F159B9">
        <w:rPr>
          <w:rFonts w:ascii="Arial" w:hAnsi="Arial" w:cs="Arial"/>
          <w:sz w:val="24"/>
          <w:szCs w:val="24"/>
          <w:lang w:val="es-ES"/>
        </w:rPr>
        <w:t xml:space="preserve"> </w:t>
      </w:r>
      <w:r w:rsidRPr="00DF7866">
        <w:rPr>
          <w:rFonts w:ascii="Arial" w:hAnsi="Arial" w:cs="Arial"/>
          <w:sz w:val="24"/>
          <w:szCs w:val="24"/>
          <w:lang w:val="es-ES"/>
        </w:rPr>
        <w:t xml:space="preserve">presentación. Esto no quiere decir que las </w:t>
      </w:r>
      <w:r w:rsidR="00F159B9" w:rsidRPr="00F159B9">
        <w:rPr>
          <w:rFonts w:ascii="Arial" w:hAnsi="Arial" w:cs="Arial"/>
          <w:sz w:val="24"/>
          <w:szCs w:val="24"/>
          <w:lang w:val="es-ES"/>
        </w:rPr>
        <w:t>1.584</w:t>
      </w:r>
      <w:r w:rsidR="00F159B9" w:rsidRPr="00F159B9">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F159B9" w:rsidRPr="00F159B9">
        <w:rPr>
          <w:rFonts w:ascii="Arial" w:hAnsi="Arial" w:cs="Arial"/>
          <w:sz w:val="24"/>
          <w:szCs w:val="24"/>
          <w:lang w:val="es-ES"/>
        </w:rPr>
        <w:t>72,43</w:t>
      </w:r>
      <w:r w:rsidRPr="000C5E1A">
        <w:rPr>
          <w:rFonts w:ascii="Arial" w:hAnsi="Arial" w:cs="Arial"/>
          <w:sz w:val="24"/>
          <w:szCs w:val="24"/>
          <w:lang w:val="es-ES"/>
        </w:rPr>
        <w:t>‬</w:t>
      </w:r>
      <w:r w:rsidRPr="00DF7866">
        <w:rPr>
          <w:rFonts w:ascii="Arial" w:hAnsi="Arial" w:cs="Arial"/>
          <w:sz w:val="24"/>
          <w:szCs w:val="24"/>
          <w:lang w:val="es-ES"/>
        </w:rPr>
        <w:t xml:space="preserve">%) PQRSD restantes, que </w:t>
      </w:r>
      <w:r w:rsidR="00F159B9">
        <w:rPr>
          <w:rFonts w:ascii="Arial" w:hAnsi="Arial" w:cs="Arial"/>
          <w:sz w:val="24"/>
          <w:szCs w:val="24"/>
          <w:lang w:val="es-ES"/>
        </w:rPr>
        <w:t xml:space="preserve">tenían </w:t>
      </w:r>
      <w:r w:rsidRPr="00DF7866">
        <w:rPr>
          <w:rFonts w:ascii="Arial" w:hAnsi="Arial" w:cs="Arial"/>
          <w:sz w:val="24"/>
          <w:szCs w:val="24"/>
          <w:lang w:val="es-ES"/>
        </w:rPr>
        <w:t xml:space="preserve">fecha límite de respuesta en </w:t>
      </w:r>
      <w:r w:rsidR="00F159B9">
        <w:rPr>
          <w:rFonts w:ascii="Arial" w:hAnsi="Arial" w:cs="Arial"/>
          <w:sz w:val="24"/>
          <w:szCs w:val="24"/>
          <w:lang w:val="es-ES"/>
        </w:rPr>
        <w:t xml:space="preserve">los </w:t>
      </w:r>
      <w:r w:rsidR="00966CD1">
        <w:rPr>
          <w:rFonts w:ascii="Arial" w:hAnsi="Arial" w:cs="Arial"/>
          <w:sz w:val="24"/>
          <w:szCs w:val="24"/>
          <w:lang w:val="es-ES"/>
        </w:rPr>
        <w:t>siguiente</w:t>
      </w:r>
      <w:r w:rsidR="00F159B9">
        <w:rPr>
          <w:rFonts w:ascii="Arial" w:hAnsi="Arial" w:cs="Arial"/>
          <w:sz w:val="24"/>
          <w:szCs w:val="24"/>
          <w:lang w:val="es-ES"/>
        </w:rPr>
        <w:t>s</w:t>
      </w:r>
      <w:r w:rsidR="00966CD1">
        <w:rPr>
          <w:rFonts w:ascii="Arial" w:hAnsi="Arial" w:cs="Arial"/>
          <w:sz w:val="24"/>
          <w:szCs w:val="24"/>
          <w:lang w:val="es-ES"/>
        </w:rPr>
        <w:t xml:space="preserve"> </w:t>
      </w:r>
      <w:r w:rsidR="00F558F2">
        <w:rPr>
          <w:rFonts w:ascii="Arial" w:hAnsi="Arial" w:cs="Arial"/>
          <w:sz w:val="24"/>
          <w:szCs w:val="24"/>
          <w:lang w:val="es-ES"/>
        </w:rPr>
        <w:t>periodo</w:t>
      </w:r>
      <w:r w:rsidR="00F159B9">
        <w:rPr>
          <w:rFonts w:ascii="Arial" w:hAnsi="Arial" w:cs="Arial"/>
          <w:sz w:val="24"/>
          <w:szCs w:val="24"/>
          <w:lang w:val="es-ES"/>
        </w:rPr>
        <w:t>s (mensual) de presentación</w:t>
      </w:r>
      <w:r w:rsidRPr="00DF7866">
        <w:rPr>
          <w:rFonts w:ascii="Arial" w:hAnsi="Arial" w:cs="Arial"/>
          <w:sz w:val="24"/>
          <w:szCs w:val="24"/>
          <w:lang w:val="es-ES"/>
        </w:rPr>
        <w:t xml:space="preserve">, no pudieran haber sido solucionadas en </w:t>
      </w:r>
      <w:r w:rsidR="00F159B9">
        <w:rPr>
          <w:rFonts w:ascii="Arial" w:hAnsi="Arial" w:cs="Arial"/>
          <w:sz w:val="24"/>
          <w:szCs w:val="24"/>
          <w:lang w:val="es-ES"/>
        </w:rPr>
        <w:t xml:space="preserve">los mismos </w:t>
      </w:r>
      <w:r w:rsidR="00B16ECD">
        <w:rPr>
          <w:rFonts w:ascii="Arial" w:hAnsi="Arial" w:cs="Arial"/>
          <w:sz w:val="24"/>
          <w:szCs w:val="24"/>
          <w:lang w:val="es-ES"/>
        </w:rPr>
        <w:t>periodo</w:t>
      </w:r>
      <w:r w:rsidR="00F159B9">
        <w:rPr>
          <w:rFonts w:ascii="Arial" w:hAnsi="Arial" w:cs="Arial"/>
          <w:sz w:val="24"/>
          <w:szCs w:val="24"/>
          <w:lang w:val="es-ES"/>
        </w:rPr>
        <w:t>s</w:t>
      </w:r>
      <w:r w:rsidRPr="00DF7866">
        <w:rPr>
          <w:rFonts w:ascii="Arial" w:hAnsi="Arial" w:cs="Arial"/>
          <w:sz w:val="24"/>
          <w:szCs w:val="24"/>
          <w:lang w:val="es-ES"/>
        </w:rPr>
        <w:t xml:space="preserve">. (Ver Grafica No. </w:t>
      </w:r>
      <w:r>
        <w:rPr>
          <w:rFonts w:ascii="Arial" w:hAnsi="Arial" w:cs="Arial"/>
          <w:sz w:val="24"/>
          <w:szCs w:val="24"/>
          <w:lang w:val="es-ES"/>
        </w:rPr>
        <w:t>2</w:t>
      </w:r>
      <w:r w:rsidRPr="00DF7866">
        <w:rPr>
          <w:rFonts w:ascii="Arial" w:hAnsi="Arial" w:cs="Arial"/>
          <w:sz w:val="24"/>
          <w:szCs w:val="24"/>
          <w:lang w:val="es-ES"/>
        </w:rPr>
        <w:t>).</w:t>
      </w:r>
    </w:p>
    <w:p w:rsidR="007437E7" w:rsidRDefault="008E608C"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0AE3997E" wp14:editId="58842933">
            <wp:extent cx="5981700" cy="3352800"/>
            <wp:effectExtent l="0" t="0" r="0" b="0"/>
            <wp:docPr id="10" name="Gráfico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4F9BC7C-EEEC-4759-BEC8-01AE66B9A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3FFA" w:rsidRDefault="00D33FFA" w:rsidP="00D33FF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3763AC" w:rsidRDefault="003763AC" w:rsidP="00EF1BFD">
      <w:pPr>
        <w:spacing w:after="0" w:line="240" w:lineRule="auto"/>
        <w:jc w:val="both"/>
        <w:rPr>
          <w:rFonts w:ascii="Arial" w:hAnsi="Arial" w:cs="Arial"/>
          <w:sz w:val="24"/>
          <w:szCs w:val="24"/>
          <w:lang w:val="es-ES"/>
        </w:rPr>
      </w:pPr>
    </w:p>
    <w:p w:rsidR="00DB157E" w:rsidRDefault="00386DAE" w:rsidP="00EF1BFD">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E0378E">
        <w:rPr>
          <w:rFonts w:ascii="Arial" w:hAnsi="Arial" w:cs="Arial"/>
          <w:sz w:val="24"/>
          <w:szCs w:val="24"/>
          <w:lang w:val="es-ES"/>
        </w:rPr>
        <w:t>1.978</w:t>
      </w:r>
      <w:r w:rsidR="001A37A1">
        <w:rPr>
          <w:rFonts w:ascii="Arial" w:hAnsi="Arial" w:cs="Arial"/>
          <w:sz w:val="24"/>
          <w:szCs w:val="24"/>
          <w:lang w:val="es-ES"/>
        </w:rPr>
        <w:t xml:space="preserve"> </w:t>
      </w:r>
      <w:r w:rsidRPr="00DF7866">
        <w:rPr>
          <w:rFonts w:ascii="Arial" w:hAnsi="Arial" w:cs="Arial"/>
          <w:sz w:val="24"/>
          <w:szCs w:val="24"/>
          <w:lang w:val="es-ES"/>
        </w:rPr>
        <w:t xml:space="preserve">PQRSD que la norma determina que deben responderse </w:t>
      </w:r>
      <w:r w:rsidR="001A37A1">
        <w:rPr>
          <w:rFonts w:ascii="Arial" w:hAnsi="Arial" w:cs="Arial"/>
          <w:sz w:val="24"/>
          <w:szCs w:val="24"/>
          <w:lang w:val="es-ES"/>
        </w:rPr>
        <w:t>dentro del mismo periodo de presentación</w:t>
      </w:r>
      <w:r>
        <w:rPr>
          <w:rFonts w:ascii="Arial" w:hAnsi="Arial" w:cs="Arial"/>
          <w:sz w:val="24"/>
          <w:szCs w:val="24"/>
          <w:lang w:val="es-ES"/>
        </w:rPr>
        <w:t>,</w:t>
      </w:r>
      <w:r w:rsidRPr="00DF7866">
        <w:rPr>
          <w:rFonts w:ascii="Arial" w:hAnsi="Arial" w:cs="Arial"/>
          <w:sz w:val="24"/>
          <w:szCs w:val="24"/>
          <w:lang w:val="es-ES"/>
        </w:rPr>
        <w:t xml:space="preserve"> se deben incorporar</w:t>
      </w:r>
      <w:r>
        <w:rPr>
          <w:rFonts w:ascii="Arial" w:hAnsi="Arial" w:cs="Arial"/>
          <w:sz w:val="24"/>
          <w:szCs w:val="24"/>
          <w:lang w:val="es-ES"/>
        </w:rPr>
        <w:t xml:space="preserve"> </w:t>
      </w:r>
      <w:r w:rsidR="00CD5C71">
        <w:rPr>
          <w:rFonts w:ascii="Arial" w:hAnsi="Arial" w:cs="Arial"/>
          <w:sz w:val="24"/>
          <w:szCs w:val="24"/>
          <w:lang w:val="es-ES"/>
        </w:rPr>
        <w:t>75</w:t>
      </w:r>
      <w:r>
        <w:rPr>
          <w:rFonts w:ascii="Arial" w:hAnsi="Arial" w:cs="Arial"/>
          <w:sz w:val="24"/>
          <w:szCs w:val="24"/>
          <w:lang w:val="es-ES"/>
        </w:rPr>
        <w:t xml:space="preserve"> </w:t>
      </w:r>
      <w:r w:rsidRPr="00DF7866">
        <w:rPr>
          <w:rFonts w:ascii="Arial" w:hAnsi="Arial" w:cs="Arial"/>
          <w:sz w:val="24"/>
          <w:szCs w:val="24"/>
          <w:lang w:val="es-ES"/>
        </w:rPr>
        <w:t xml:space="preserve">que no fueron solucionadas en </w:t>
      </w:r>
      <w:r w:rsidR="00CD5C71">
        <w:rPr>
          <w:rFonts w:ascii="Arial" w:hAnsi="Arial" w:cs="Arial"/>
          <w:sz w:val="24"/>
          <w:szCs w:val="24"/>
          <w:lang w:val="es-ES"/>
        </w:rPr>
        <w:t>el mes de diciembre de 201</w:t>
      </w:r>
      <w:r w:rsidR="009F435C">
        <w:rPr>
          <w:rFonts w:ascii="Arial" w:hAnsi="Arial" w:cs="Arial"/>
          <w:sz w:val="24"/>
          <w:szCs w:val="24"/>
          <w:lang w:val="es-ES"/>
        </w:rPr>
        <w:t>8</w:t>
      </w:r>
      <w:r w:rsidRPr="00DF7866">
        <w:rPr>
          <w:rFonts w:ascii="Arial" w:hAnsi="Arial" w:cs="Arial"/>
          <w:sz w:val="24"/>
          <w:szCs w:val="24"/>
          <w:lang w:val="es-ES"/>
        </w:rPr>
        <w:t xml:space="preserve">. En tal sentido, tenemos un total de </w:t>
      </w:r>
      <w:r w:rsidR="00DF24DC" w:rsidRPr="00DF24DC">
        <w:rPr>
          <w:rFonts w:ascii="Arial" w:hAnsi="Arial" w:cs="Arial"/>
          <w:sz w:val="24"/>
          <w:szCs w:val="24"/>
          <w:lang w:val="es-ES"/>
        </w:rPr>
        <w:t>2.053</w:t>
      </w:r>
      <w:r w:rsidR="00DF24DC" w:rsidRPr="00DF24DC">
        <w:rPr>
          <w:rFonts w:ascii="Arial" w:hAnsi="Arial" w:cs="Arial"/>
          <w:sz w:val="24"/>
          <w:szCs w:val="24"/>
          <w:lang w:val="es-ES"/>
        </w:rPr>
        <w:t>‬</w:t>
      </w:r>
      <w:r w:rsidR="00DF24DC">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w:t>
      </w:r>
      <w:r w:rsidR="009377F1">
        <w:rPr>
          <w:rFonts w:ascii="Arial" w:hAnsi="Arial" w:cs="Arial"/>
          <w:sz w:val="24"/>
          <w:szCs w:val="24"/>
          <w:lang w:val="es-ES"/>
        </w:rPr>
        <w:t>e</w:t>
      </w:r>
      <w:r w:rsidRPr="00DF7866">
        <w:rPr>
          <w:rFonts w:ascii="Arial" w:hAnsi="Arial" w:cs="Arial"/>
          <w:sz w:val="24"/>
          <w:szCs w:val="24"/>
          <w:lang w:val="es-ES"/>
        </w:rPr>
        <w:t xml:space="preserve">l </w:t>
      </w:r>
      <w:r w:rsidR="009377F1">
        <w:rPr>
          <w:rFonts w:ascii="Arial" w:hAnsi="Arial" w:cs="Arial"/>
          <w:sz w:val="24"/>
          <w:szCs w:val="24"/>
          <w:lang w:val="es-ES"/>
        </w:rPr>
        <w:t>mismo mes de presentación.</w:t>
      </w:r>
    </w:p>
    <w:p w:rsidR="00CD5C71" w:rsidRDefault="00CD5C71" w:rsidP="00EF1BFD">
      <w:pPr>
        <w:spacing w:after="0" w:line="240" w:lineRule="auto"/>
        <w:jc w:val="both"/>
        <w:rPr>
          <w:rFonts w:ascii="Arial" w:hAnsi="Arial" w:cs="Arial"/>
          <w:sz w:val="24"/>
          <w:szCs w:val="24"/>
          <w:lang w:val="es-ES"/>
        </w:rPr>
      </w:pPr>
    </w:p>
    <w:p w:rsidR="004551F3" w:rsidRDefault="004551F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Atendiendo lo anteriormente expuesto, para </w:t>
      </w:r>
      <w:r w:rsidR="00B970DA">
        <w:rPr>
          <w:rFonts w:ascii="Arial" w:hAnsi="Arial" w:cs="Arial"/>
          <w:sz w:val="24"/>
          <w:szCs w:val="24"/>
          <w:lang w:val="es-ES"/>
        </w:rPr>
        <w:t>el primer semestre de 2019</w:t>
      </w:r>
      <w:r>
        <w:rPr>
          <w:rFonts w:ascii="Arial" w:hAnsi="Arial" w:cs="Arial"/>
          <w:sz w:val="24"/>
          <w:szCs w:val="24"/>
          <w:lang w:val="es-ES"/>
        </w:rPr>
        <w:t xml:space="preserve"> </w:t>
      </w:r>
      <w:r w:rsidRPr="00DF7866">
        <w:rPr>
          <w:rFonts w:ascii="Arial" w:hAnsi="Arial" w:cs="Arial"/>
          <w:sz w:val="24"/>
          <w:szCs w:val="24"/>
          <w:lang w:val="es-ES"/>
        </w:rPr>
        <w:t xml:space="preserve">se dio solución a </w:t>
      </w:r>
      <w:r w:rsidR="00BF263E">
        <w:rPr>
          <w:rFonts w:ascii="Arial" w:hAnsi="Arial" w:cs="Arial"/>
          <w:sz w:val="24"/>
          <w:szCs w:val="24"/>
          <w:lang w:val="es-ES"/>
        </w:rPr>
        <w:t>2.11</w:t>
      </w:r>
      <w:r w:rsidR="00876AE1">
        <w:rPr>
          <w:rFonts w:ascii="Arial" w:hAnsi="Arial" w:cs="Arial"/>
          <w:sz w:val="24"/>
          <w:szCs w:val="24"/>
          <w:lang w:val="es-ES"/>
        </w:rPr>
        <w:t>8</w:t>
      </w:r>
      <w:r w:rsidR="00C757EE">
        <w:rPr>
          <w:rFonts w:ascii="Arial" w:hAnsi="Arial" w:cs="Arial"/>
          <w:sz w:val="24"/>
          <w:szCs w:val="24"/>
          <w:lang w:val="es-ES"/>
        </w:rPr>
        <w:t xml:space="preserve">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 distribuidas así:</w:t>
      </w:r>
    </w:p>
    <w:p w:rsidR="00876AE1" w:rsidRDefault="00876AE1" w:rsidP="00EF1BFD">
      <w:pPr>
        <w:spacing w:after="0" w:line="240" w:lineRule="auto"/>
        <w:jc w:val="both"/>
        <w:rPr>
          <w:rFonts w:ascii="Arial" w:hAnsi="Arial" w:cs="Arial"/>
          <w:sz w:val="24"/>
          <w:szCs w:val="24"/>
          <w:lang w:val="es-ES"/>
        </w:rPr>
      </w:pPr>
    </w:p>
    <w:tbl>
      <w:tblPr>
        <w:tblStyle w:val="GridTable4Accent1"/>
        <w:tblW w:w="9374" w:type="dxa"/>
        <w:tblInd w:w="108" w:type="dxa"/>
        <w:tblLayout w:type="fixed"/>
        <w:tblLook w:val="04A0" w:firstRow="1" w:lastRow="0" w:firstColumn="1" w:lastColumn="0" w:noHBand="0" w:noVBand="1"/>
      </w:tblPr>
      <w:tblGrid>
        <w:gridCol w:w="4105"/>
        <w:gridCol w:w="731"/>
        <w:gridCol w:w="733"/>
        <w:gridCol w:w="733"/>
        <w:gridCol w:w="733"/>
        <w:gridCol w:w="733"/>
        <w:gridCol w:w="733"/>
        <w:gridCol w:w="866"/>
        <w:gridCol w:w="7"/>
      </w:tblGrid>
      <w:tr w:rsidR="00BC7F56" w:rsidRPr="00595E80" w:rsidTr="00B9076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C7F56" w:rsidRPr="00595E80" w:rsidRDefault="00BC7F56" w:rsidP="00BC7F56">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w:t>
            </w:r>
            <w:r>
              <w:rPr>
                <w:rFonts w:ascii="Arial" w:hAnsi="Arial" w:cs="Arial"/>
                <w:sz w:val="20"/>
                <w:szCs w:val="20"/>
                <w:lang w:val="es-ES"/>
              </w:rPr>
              <w:t>PRIMER SEMESTRE 2019</w:t>
            </w:r>
          </w:p>
        </w:tc>
      </w:tr>
      <w:tr w:rsidR="005D6E13" w:rsidRPr="00595E80" w:rsidTr="00B90762">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41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5D6E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w:t>
            </w:r>
          </w:p>
        </w:tc>
      </w:tr>
      <w:tr w:rsidR="00617E17" w:rsidRPr="00595E80" w:rsidTr="00B9076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41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EF1BFD">
            <w:pPr>
              <w:spacing w:after="0" w:line="240" w:lineRule="auto"/>
              <w:jc w:val="center"/>
              <w:rPr>
                <w:rFonts w:ascii="Arial" w:hAnsi="Arial" w:cs="Arial"/>
                <w:sz w:val="20"/>
                <w:szCs w:val="20"/>
                <w:lang w:val="es-ES"/>
              </w:rPr>
            </w:pPr>
          </w:p>
        </w:tc>
        <w:tc>
          <w:tcPr>
            <w:tcW w:w="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Ene</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Feb</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Mar</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Abr</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May</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7E17" w:rsidRPr="00617E17" w:rsidRDefault="00617E17" w:rsidP="00617E17">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
              </w:rPr>
            </w:pPr>
            <w:r>
              <w:rPr>
                <w:rFonts w:ascii="Arial" w:hAnsi="Arial" w:cs="Arial"/>
                <w:sz w:val="20"/>
                <w:szCs w:val="20"/>
                <w:lang w:val="es-ES"/>
              </w:rPr>
              <w:t>Jun</w:t>
            </w:r>
          </w:p>
        </w:tc>
        <w:tc>
          <w:tcPr>
            <w:tcW w:w="8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617E17" w:rsidRPr="00595E80" w:rsidTr="00B90762">
        <w:trPr>
          <w:gridAfter w:val="1"/>
          <w:cnfStyle w:val="000000100000" w:firstRow="0" w:lastRow="0" w:firstColumn="0" w:lastColumn="0" w:oddVBand="0" w:evenVBand="0" w:oddHBand="1" w:evenHBand="0" w:firstRowFirstColumn="0" w:firstRowLastColumn="0" w:lastRowFirstColumn="0" w:lastRowLastColumn="0"/>
          <w:wAfter w:w="7" w:type="dxa"/>
          <w:trHeight w:val="375"/>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FFFFFF" w:themeColor="background1"/>
            </w:tcBorders>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Oportunamente</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136</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228</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220</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241</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267</w:t>
            </w:r>
          </w:p>
        </w:tc>
        <w:tc>
          <w:tcPr>
            <w:tcW w:w="732" w:type="dxa"/>
            <w:tcBorders>
              <w:top w:val="single" w:sz="4" w:space="0" w:color="FFFFFF" w:themeColor="background1"/>
            </w:tcBorders>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190</w:t>
            </w:r>
          </w:p>
        </w:tc>
        <w:tc>
          <w:tcPr>
            <w:tcW w:w="866" w:type="dxa"/>
            <w:tcBorders>
              <w:top w:val="single" w:sz="4" w:space="0" w:color="FFFFFF" w:themeColor="background1"/>
            </w:tcBorders>
            <w:vAlign w:val="center"/>
          </w:tcPr>
          <w:p w:rsidR="00617E17" w:rsidRPr="009A7C3A" w:rsidRDefault="00C2792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sz w:val="20"/>
                <w:szCs w:val="20"/>
                <w:lang w:val="es-ES"/>
              </w:rPr>
            </w:pPr>
            <w:r>
              <w:rPr>
                <w:rFonts w:ascii="Arial" w:hAnsi="Arial" w:cs="Arial"/>
                <w:b/>
                <w:bCs/>
                <w:color w:val="0D0D0D" w:themeColor="text1" w:themeTint="F2"/>
                <w:sz w:val="20"/>
                <w:szCs w:val="20"/>
                <w:lang w:val="es-ES"/>
              </w:rPr>
              <w:t>1</w:t>
            </w:r>
            <w:r w:rsidR="00551BA4">
              <w:rPr>
                <w:rFonts w:ascii="Arial" w:hAnsi="Arial" w:cs="Arial"/>
                <w:b/>
                <w:bCs/>
                <w:color w:val="0D0D0D" w:themeColor="text1" w:themeTint="F2"/>
                <w:sz w:val="20"/>
                <w:szCs w:val="20"/>
                <w:lang w:val="es-ES"/>
              </w:rPr>
              <w:t>.</w:t>
            </w:r>
            <w:r>
              <w:rPr>
                <w:rFonts w:ascii="Arial" w:hAnsi="Arial" w:cs="Arial"/>
                <w:b/>
                <w:bCs/>
                <w:color w:val="0D0D0D" w:themeColor="text1" w:themeTint="F2"/>
                <w:sz w:val="20"/>
                <w:szCs w:val="20"/>
                <w:lang w:val="es-ES"/>
              </w:rPr>
              <w:t>282</w:t>
            </w:r>
          </w:p>
        </w:tc>
      </w:tr>
      <w:tr w:rsidR="00617E17" w:rsidRPr="00595E80" w:rsidTr="00B90762">
        <w:trPr>
          <w:gridAfter w:val="1"/>
          <w:wAfter w:w="7" w:type="dxa"/>
          <w:trHeight w:val="409"/>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Inoportunamente</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10</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3</w:t>
            </w:r>
            <w:r w:rsidR="005C2198">
              <w:rPr>
                <w:rFonts w:ascii="Arial" w:hAnsi="Arial" w:cs="Arial"/>
                <w:color w:val="0D0D0D" w:themeColor="text1" w:themeTint="F2"/>
                <w:sz w:val="20"/>
                <w:szCs w:val="20"/>
                <w:lang w:val="es-ES"/>
              </w:rPr>
              <w:t>6</w:t>
            </w:r>
          </w:p>
        </w:tc>
        <w:tc>
          <w:tcPr>
            <w:tcW w:w="732" w:type="dxa"/>
            <w:vAlign w:val="center"/>
          </w:tcPr>
          <w:p w:rsidR="00617E17" w:rsidRPr="009A7C3A" w:rsidRDefault="005C2198"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29</w:t>
            </w:r>
          </w:p>
        </w:tc>
        <w:tc>
          <w:tcPr>
            <w:tcW w:w="732" w:type="dxa"/>
            <w:vAlign w:val="center"/>
          </w:tcPr>
          <w:p w:rsidR="00617E17" w:rsidRPr="009A7C3A" w:rsidRDefault="005C2198"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66</w:t>
            </w:r>
          </w:p>
        </w:tc>
        <w:tc>
          <w:tcPr>
            <w:tcW w:w="732" w:type="dxa"/>
            <w:vAlign w:val="center"/>
          </w:tcPr>
          <w:p w:rsidR="00617E17" w:rsidRPr="009A7C3A" w:rsidRDefault="004C00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24</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4</w:t>
            </w:r>
            <w:r w:rsidR="004C0071">
              <w:rPr>
                <w:rFonts w:ascii="Arial" w:hAnsi="Arial" w:cs="Arial"/>
                <w:color w:val="0D0D0D" w:themeColor="text1" w:themeTint="F2"/>
                <w:sz w:val="20"/>
                <w:szCs w:val="20"/>
                <w:lang w:val="es-ES"/>
              </w:rPr>
              <w:t>7</w:t>
            </w:r>
          </w:p>
        </w:tc>
        <w:tc>
          <w:tcPr>
            <w:tcW w:w="866" w:type="dxa"/>
            <w:vAlign w:val="center"/>
          </w:tcPr>
          <w:p w:rsidR="00617E17" w:rsidRPr="009A7C3A" w:rsidRDefault="00C2792B"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212</w:t>
            </w:r>
          </w:p>
        </w:tc>
      </w:tr>
      <w:tr w:rsidR="00617E17" w:rsidRPr="00595E80" w:rsidTr="00B90762">
        <w:trPr>
          <w:gridAfter w:val="1"/>
          <w:cnfStyle w:val="000000100000" w:firstRow="0" w:lastRow="0" w:firstColumn="0" w:lastColumn="0" w:oddVBand="0" w:evenVBand="0" w:oddHBand="1" w:evenHBand="0" w:firstRowFirstColumn="0" w:firstRowLastColumn="0" w:lastRowFirstColumn="0" w:lastRowLastColumn="0"/>
          <w:wAfter w:w="7" w:type="dxa"/>
          <w:trHeight w:val="416"/>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Solucionadas Anticipadamente</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122</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123</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106</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w:t>
            </w:r>
            <w:r w:rsidR="005C2198">
              <w:rPr>
                <w:rFonts w:ascii="Arial" w:hAnsi="Arial" w:cs="Arial"/>
                <w:color w:val="0D0D0D" w:themeColor="text1" w:themeTint="F2"/>
                <w:sz w:val="20"/>
                <w:szCs w:val="20"/>
                <w:lang w:val="es-ES"/>
              </w:rPr>
              <w:t>30</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71</w:t>
            </w:r>
          </w:p>
        </w:tc>
        <w:tc>
          <w:tcPr>
            <w:tcW w:w="732" w:type="dxa"/>
            <w:vAlign w:val="center"/>
          </w:tcPr>
          <w:p w:rsidR="00617E17" w:rsidRPr="009A7C3A" w:rsidRDefault="00617E17"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7</w:t>
            </w:r>
            <w:r w:rsidR="00C2792B">
              <w:rPr>
                <w:rFonts w:ascii="Arial" w:hAnsi="Arial" w:cs="Arial"/>
                <w:color w:val="0D0D0D" w:themeColor="text1" w:themeTint="F2"/>
                <w:sz w:val="20"/>
                <w:szCs w:val="20"/>
                <w:lang w:val="es-ES"/>
              </w:rPr>
              <w:t>2</w:t>
            </w:r>
          </w:p>
        </w:tc>
        <w:tc>
          <w:tcPr>
            <w:tcW w:w="866" w:type="dxa"/>
            <w:vAlign w:val="center"/>
          </w:tcPr>
          <w:p w:rsidR="00617E17" w:rsidRPr="009A7C3A" w:rsidRDefault="00C2792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624</w:t>
            </w:r>
          </w:p>
        </w:tc>
      </w:tr>
      <w:tr w:rsidR="00617E17" w:rsidRPr="00595E80" w:rsidTr="00B90762">
        <w:trPr>
          <w:gridAfter w:val="1"/>
          <w:wAfter w:w="7" w:type="dxa"/>
          <w:trHeight w:val="397"/>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jc w:val="center"/>
              <w:rPr>
                <w:rFonts w:ascii="Arial" w:hAnsi="Arial" w:cs="Arial"/>
                <w:color w:val="0D0D0D" w:themeColor="text1" w:themeTint="F2"/>
                <w:sz w:val="20"/>
                <w:szCs w:val="20"/>
                <w:lang w:val="es-ES"/>
              </w:rPr>
            </w:pPr>
            <w:r w:rsidRPr="009A7C3A">
              <w:rPr>
                <w:rFonts w:ascii="Arial" w:hAnsi="Arial" w:cs="Arial"/>
                <w:color w:val="0D0D0D" w:themeColor="text1" w:themeTint="F2"/>
                <w:sz w:val="20"/>
                <w:szCs w:val="20"/>
                <w:lang w:val="es-ES"/>
              </w:rPr>
              <w:t>TOTAL</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268</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387</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355</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437</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362</w:t>
            </w:r>
          </w:p>
        </w:tc>
        <w:tc>
          <w:tcPr>
            <w:tcW w:w="732"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309</w:t>
            </w:r>
          </w:p>
        </w:tc>
        <w:tc>
          <w:tcPr>
            <w:tcW w:w="866" w:type="dxa"/>
            <w:vAlign w:val="center"/>
          </w:tcPr>
          <w:p w:rsidR="00617E17" w:rsidRPr="009A7C3A" w:rsidRDefault="00617E17"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sidRPr="009A7C3A">
              <w:rPr>
                <w:rFonts w:ascii="Arial" w:hAnsi="Arial" w:cs="Arial"/>
                <w:b/>
                <w:color w:val="0D0D0D" w:themeColor="text1" w:themeTint="F2"/>
                <w:sz w:val="20"/>
                <w:szCs w:val="20"/>
                <w:lang w:val="es-ES"/>
              </w:rPr>
              <w:t>2</w:t>
            </w:r>
            <w:r w:rsidR="00551BA4">
              <w:rPr>
                <w:rFonts w:ascii="Arial" w:hAnsi="Arial" w:cs="Arial"/>
                <w:b/>
                <w:color w:val="0D0D0D" w:themeColor="text1" w:themeTint="F2"/>
                <w:sz w:val="20"/>
                <w:szCs w:val="20"/>
                <w:lang w:val="es-ES"/>
              </w:rPr>
              <w:t>.</w:t>
            </w:r>
            <w:r w:rsidRPr="009A7C3A">
              <w:rPr>
                <w:rFonts w:ascii="Arial" w:hAnsi="Arial" w:cs="Arial"/>
                <w:b/>
                <w:color w:val="0D0D0D" w:themeColor="text1" w:themeTint="F2"/>
                <w:sz w:val="20"/>
                <w:szCs w:val="20"/>
                <w:lang w:val="es-ES"/>
              </w:rPr>
              <w:t>11</w:t>
            </w:r>
            <w:r>
              <w:rPr>
                <w:rFonts w:ascii="Arial" w:hAnsi="Arial" w:cs="Arial"/>
                <w:b/>
                <w:color w:val="0D0D0D" w:themeColor="text1" w:themeTint="F2"/>
                <w:sz w:val="20"/>
                <w:szCs w:val="20"/>
                <w:lang w:val="es-ES"/>
              </w:rPr>
              <w:t>8</w:t>
            </w:r>
          </w:p>
        </w:tc>
      </w:tr>
    </w:tbl>
    <w:p w:rsidR="00B95582" w:rsidRPr="00595E80" w:rsidRDefault="00B95582" w:rsidP="00EF1BFD">
      <w:pPr>
        <w:spacing w:after="0" w:line="240" w:lineRule="auto"/>
        <w:rPr>
          <w:rFonts w:ascii="Arial" w:hAnsi="Arial" w:cs="Arial"/>
          <w:sz w:val="20"/>
          <w:szCs w:val="20"/>
          <w:lang w:val="es-ES"/>
        </w:rPr>
      </w:pPr>
      <w:r w:rsidRPr="00595E80">
        <w:rPr>
          <w:rFonts w:ascii="Arial" w:hAnsi="Arial" w:cs="Arial"/>
          <w:sz w:val="20"/>
          <w:szCs w:val="20"/>
        </w:rPr>
        <w:t xml:space="preserve">Fuente: </w:t>
      </w:r>
      <w:r>
        <w:rPr>
          <w:rFonts w:ascii="Arial" w:hAnsi="Arial" w:cs="Arial"/>
          <w:sz w:val="20"/>
          <w:szCs w:val="20"/>
        </w:rPr>
        <w:t>Servicio al Ciudadano</w:t>
      </w:r>
    </w:p>
    <w:p w:rsidR="001D71DC" w:rsidRDefault="00F660B5" w:rsidP="00EF1BFD">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Ahora bien, </w:t>
      </w:r>
      <w:r w:rsidR="001D71DC">
        <w:rPr>
          <w:rFonts w:ascii="Arial" w:hAnsi="Arial" w:cs="Arial"/>
          <w:sz w:val="24"/>
          <w:szCs w:val="24"/>
          <w:lang w:val="es-ES"/>
        </w:rPr>
        <w:t>l</w:t>
      </w:r>
      <w:r w:rsidR="001D71DC" w:rsidRPr="00DF7866">
        <w:rPr>
          <w:rFonts w:ascii="Arial" w:hAnsi="Arial" w:cs="Arial"/>
          <w:sz w:val="24"/>
          <w:szCs w:val="24"/>
          <w:lang w:val="es-ES"/>
        </w:rPr>
        <w:t>os registros arrojados por el SDQS nos permiten</w:t>
      </w:r>
      <w:r w:rsidR="006B0411" w:rsidRPr="00DF7866">
        <w:rPr>
          <w:rFonts w:ascii="Arial" w:hAnsi="Arial" w:cs="Arial"/>
          <w:sz w:val="24"/>
          <w:szCs w:val="24"/>
          <w:lang w:val="es-ES"/>
        </w:rPr>
        <w:t xml:space="preserve"> concluir que </w:t>
      </w:r>
      <w:r w:rsidR="001D71DC">
        <w:rPr>
          <w:rFonts w:ascii="Arial" w:hAnsi="Arial" w:cs="Arial"/>
          <w:sz w:val="24"/>
          <w:szCs w:val="24"/>
          <w:lang w:val="es-ES"/>
        </w:rPr>
        <w:t>de las 1.978 PQRSD que debían responderse dentro del periodo de presentación</w:t>
      </w:r>
      <w:r w:rsidR="00A0347B">
        <w:rPr>
          <w:rFonts w:ascii="Arial" w:hAnsi="Arial" w:cs="Arial"/>
          <w:sz w:val="24"/>
          <w:szCs w:val="24"/>
          <w:lang w:val="es-ES"/>
        </w:rPr>
        <w:t xml:space="preserve">, </w:t>
      </w:r>
      <w:r w:rsidR="004D6C92">
        <w:rPr>
          <w:rFonts w:ascii="Arial" w:hAnsi="Arial" w:cs="Arial"/>
          <w:sz w:val="24"/>
          <w:szCs w:val="24"/>
          <w:lang w:val="es-ES"/>
        </w:rPr>
        <w:t xml:space="preserve">de manera oportuna </w:t>
      </w:r>
      <w:r w:rsidR="00A0347B">
        <w:rPr>
          <w:rFonts w:ascii="Arial" w:hAnsi="Arial" w:cs="Arial"/>
          <w:sz w:val="24"/>
          <w:szCs w:val="24"/>
          <w:lang w:val="es-ES"/>
        </w:rPr>
        <w:t>se solucionaron 1</w:t>
      </w:r>
      <w:r w:rsidR="00551BA4">
        <w:rPr>
          <w:rFonts w:ascii="Arial" w:hAnsi="Arial" w:cs="Arial"/>
          <w:sz w:val="24"/>
          <w:szCs w:val="24"/>
          <w:lang w:val="es-ES"/>
        </w:rPr>
        <w:t>.</w:t>
      </w:r>
      <w:r w:rsidR="00A0347B">
        <w:rPr>
          <w:rFonts w:ascii="Arial" w:hAnsi="Arial" w:cs="Arial"/>
          <w:sz w:val="24"/>
          <w:szCs w:val="24"/>
          <w:lang w:val="es-ES"/>
        </w:rPr>
        <w:t xml:space="preserve">766 (89,28%), de forma inoportuna, ósea incumpliendo los tiempos que determina la ley, se resolvieron 204 (10,31%), y tan solo 8 (0,41%) no se solucionaron dentro el primer semestre del 2019. </w:t>
      </w:r>
    </w:p>
    <w:p w:rsidR="001D71DC" w:rsidRDefault="001D71DC" w:rsidP="00EF1BFD">
      <w:pPr>
        <w:spacing w:after="0" w:line="240" w:lineRule="auto"/>
        <w:jc w:val="both"/>
        <w:rPr>
          <w:rFonts w:ascii="Arial" w:hAnsi="Arial" w:cs="Arial"/>
          <w:sz w:val="24"/>
          <w:szCs w:val="24"/>
          <w:lang w:val="es-ES"/>
        </w:rPr>
      </w:pPr>
    </w:p>
    <w:p w:rsidR="006B0411" w:rsidRDefault="006B0411"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F058E4">
        <w:rPr>
          <w:rFonts w:ascii="Arial" w:hAnsi="Arial" w:cs="Arial"/>
          <w:sz w:val="24"/>
          <w:szCs w:val="24"/>
          <w:lang w:val="es-ES"/>
        </w:rPr>
        <w:t xml:space="preserve">las doscientas </w:t>
      </w:r>
      <w:r w:rsidR="00550C33">
        <w:rPr>
          <w:rFonts w:ascii="Arial" w:hAnsi="Arial" w:cs="Arial"/>
          <w:sz w:val="24"/>
          <w:szCs w:val="24"/>
          <w:lang w:val="es-ES"/>
        </w:rPr>
        <w:t xml:space="preserve">veinte </w:t>
      </w:r>
      <w:r w:rsidR="00F058E4">
        <w:rPr>
          <w:rFonts w:ascii="Arial" w:hAnsi="Arial" w:cs="Arial"/>
          <w:sz w:val="24"/>
          <w:szCs w:val="24"/>
          <w:lang w:val="es-ES"/>
        </w:rPr>
        <w:t>(2</w:t>
      </w:r>
      <w:r w:rsidR="00550C33">
        <w:rPr>
          <w:rFonts w:ascii="Arial" w:hAnsi="Arial" w:cs="Arial"/>
          <w:sz w:val="24"/>
          <w:szCs w:val="24"/>
          <w:lang w:val="es-ES"/>
        </w:rPr>
        <w:t>20</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r w:rsidR="00F76A86">
        <w:rPr>
          <w:rFonts w:ascii="Arial" w:hAnsi="Arial" w:cs="Arial"/>
          <w:sz w:val="24"/>
          <w:szCs w:val="24"/>
          <w:lang w:val="es-ES"/>
        </w:rPr>
        <w:t>, durante el primer seme</w:t>
      </w:r>
      <w:r w:rsidR="00F947ED">
        <w:rPr>
          <w:rFonts w:ascii="Arial" w:hAnsi="Arial" w:cs="Arial"/>
          <w:sz w:val="24"/>
          <w:szCs w:val="24"/>
          <w:lang w:val="es-ES"/>
        </w:rPr>
        <w:t>s</w:t>
      </w:r>
      <w:r w:rsidR="00F76A86">
        <w:rPr>
          <w:rFonts w:ascii="Arial" w:hAnsi="Arial" w:cs="Arial"/>
          <w:sz w:val="24"/>
          <w:szCs w:val="24"/>
          <w:lang w:val="es-ES"/>
        </w:rPr>
        <w:t>tre del 2019.</w:t>
      </w:r>
    </w:p>
    <w:p w:rsidR="00DB157E" w:rsidRDefault="00DB157E" w:rsidP="00EF1BFD">
      <w:pPr>
        <w:spacing w:after="0" w:line="240" w:lineRule="auto"/>
        <w:jc w:val="both"/>
        <w:rPr>
          <w:rFonts w:ascii="Arial" w:hAnsi="Arial" w:cs="Arial"/>
          <w:sz w:val="24"/>
          <w:szCs w:val="24"/>
          <w:lang w:val="es-ES"/>
        </w:rPr>
      </w:pPr>
    </w:p>
    <w:p w:rsidR="00B6557A" w:rsidRDefault="00B6557A" w:rsidP="00EF1BFD">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8" w:name="_Toc16758364"/>
      <w:r w:rsidRPr="003F6B94">
        <w:rPr>
          <w:rFonts w:cs="Arial"/>
          <w:szCs w:val="24"/>
        </w:rPr>
        <w:t>Canales de Interacción</w:t>
      </w:r>
      <w:bookmarkEnd w:id="8"/>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De los canales dispuestos para la recepción de</w:t>
      </w:r>
      <w:r w:rsidR="00DE41C8">
        <w:rPr>
          <w:rFonts w:ascii="Arial" w:hAnsi="Arial" w:cs="Arial"/>
          <w:color w:val="000000" w:themeColor="text1"/>
          <w:sz w:val="24"/>
          <w:szCs w:val="24"/>
          <w:lang w:val="es-ES"/>
        </w:rPr>
        <w:t xml:space="preserve"> las 2</w:t>
      </w:r>
      <w:r w:rsidR="001F0724">
        <w:rPr>
          <w:rFonts w:ascii="Arial" w:hAnsi="Arial" w:cs="Arial"/>
          <w:color w:val="000000" w:themeColor="text1"/>
          <w:sz w:val="24"/>
          <w:szCs w:val="24"/>
          <w:lang w:val="es-ES"/>
        </w:rPr>
        <w:t>.</w:t>
      </w:r>
      <w:r w:rsidR="00DE41C8">
        <w:rPr>
          <w:rFonts w:ascii="Arial" w:hAnsi="Arial" w:cs="Arial"/>
          <w:color w:val="000000" w:themeColor="text1"/>
          <w:sz w:val="24"/>
          <w:szCs w:val="24"/>
          <w:lang w:val="es-ES"/>
        </w:rPr>
        <w:t>187</w:t>
      </w:r>
      <w:r w:rsidRPr="003F6B94">
        <w:rPr>
          <w:rFonts w:ascii="Arial" w:hAnsi="Arial" w:cs="Arial"/>
          <w:color w:val="000000" w:themeColor="text1"/>
          <w:sz w:val="24"/>
          <w:szCs w:val="24"/>
          <w:lang w:val="es-ES"/>
        </w:rPr>
        <w:t xml:space="preserve"> </w:t>
      </w:r>
      <w:r w:rsidR="00B83CD6">
        <w:rPr>
          <w:rFonts w:ascii="Arial" w:hAnsi="Arial" w:cs="Arial"/>
          <w:color w:val="000000" w:themeColor="text1"/>
          <w:sz w:val="24"/>
          <w:szCs w:val="24"/>
          <w:lang w:val="es-ES"/>
        </w:rPr>
        <w:t xml:space="preserve">(100%) </w:t>
      </w:r>
      <w:r w:rsidRPr="003F6B94">
        <w:rPr>
          <w:rFonts w:ascii="Arial" w:hAnsi="Arial" w:cs="Arial"/>
          <w:color w:val="000000" w:themeColor="text1"/>
          <w:sz w:val="24"/>
          <w:szCs w:val="24"/>
          <w:lang w:val="es-ES"/>
        </w:rPr>
        <w:t xml:space="preserve">PQRSD se identificó que los más utilizados por la ciudadanía fueron: el canal Escrito con </w:t>
      </w:r>
      <w:r w:rsidR="00B4391D">
        <w:rPr>
          <w:rFonts w:ascii="Arial" w:hAnsi="Arial" w:cs="Arial"/>
          <w:color w:val="000000" w:themeColor="text1"/>
          <w:sz w:val="24"/>
          <w:szCs w:val="24"/>
          <w:lang w:val="es-ES"/>
        </w:rPr>
        <w:t>un 89,80</w:t>
      </w:r>
      <w:r w:rsidRPr="003F6B94">
        <w:rPr>
          <w:rFonts w:ascii="Arial" w:hAnsi="Arial" w:cs="Arial"/>
          <w:color w:val="000000" w:themeColor="text1"/>
          <w:sz w:val="24"/>
          <w:szCs w:val="24"/>
          <w:lang w:val="es-ES"/>
        </w:rPr>
        <w:t>% (</w:t>
      </w:r>
      <w:r w:rsidR="00B4391D">
        <w:rPr>
          <w:rFonts w:ascii="Arial" w:hAnsi="Arial" w:cs="Arial"/>
          <w:color w:val="000000" w:themeColor="text1"/>
          <w:sz w:val="24"/>
          <w:szCs w:val="24"/>
          <w:lang w:val="es-ES"/>
        </w:rPr>
        <w:t>1</w:t>
      </w:r>
      <w:r w:rsidR="001F0724">
        <w:rPr>
          <w:rFonts w:ascii="Arial" w:hAnsi="Arial" w:cs="Arial"/>
          <w:color w:val="000000" w:themeColor="text1"/>
          <w:sz w:val="24"/>
          <w:szCs w:val="24"/>
          <w:lang w:val="es-ES"/>
        </w:rPr>
        <w:t>.</w:t>
      </w:r>
      <w:r w:rsidR="00B4391D">
        <w:rPr>
          <w:rFonts w:ascii="Arial" w:hAnsi="Arial" w:cs="Arial"/>
          <w:color w:val="000000" w:themeColor="text1"/>
          <w:sz w:val="24"/>
          <w:szCs w:val="24"/>
          <w:lang w:val="es-ES"/>
        </w:rPr>
        <w:t>964</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B4391D">
        <w:rPr>
          <w:rFonts w:ascii="Arial" w:hAnsi="Arial" w:cs="Arial"/>
          <w:color w:val="000000" w:themeColor="text1"/>
          <w:sz w:val="24"/>
          <w:szCs w:val="24"/>
          <w:lang w:val="es-ES"/>
        </w:rPr>
        <w:t>el canal W</w:t>
      </w:r>
      <w:r w:rsidR="000A3AEE">
        <w:rPr>
          <w:rFonts w:ascii="Arial" w:hAnsi="Arial" w:cs="Arial"/>
          <w:color w:val="000000" w:themeColor="text1"/>
          <w:sz w:val="24"/>
          <w:szCs w:val="24"/>
          <w:lang w:val="es-ES"/>
        </w:rPr>
        <w:t>eb</w:t>
      </w:r>
      <w:r w:rsidR="00A46C1D">
        <w:rPr>
          <w:rFonts w:ascii="Arial" w:hAnsi="Arial" w:cs="Arial"/>
          <w:color w:val="000000" w:themeColor="text1"/>
          <w:sz w:val="24"/>
          <w:szCs w:val="24"/>
          <w:lang w:val="es-ES"/>
        </w:rPr>
        <w:t xml:space="preserve"> </w:t>
      </w:r>
      <w:r w:rsidR="003F6B94" w:rsidRPr="003F6B94">
        <w:rPr>
          <w:rFonts w:ascii="Arial" w:hAnsi="Arial" w:cs="Arial"/>
          <w:color w:val="000000" w:themeColor="text1"/>
          <w:sz w:val="24"/>
          <w:szCs w:val="24"/>
          <w:lang w:val="es-ES"/>
        </w:rPr>
        <w:t>con un</w:t>
      </w:r>
      <w:r w:rsidR="00B4391D">
        <w:rPr>
          <w:rFonts w:ascii="Arial" w:hAnsi="Arial" w:cs="Arial"/>
          <w:color w:val="000000" w:themeColor="text1"/>
          <w:sz w:val="24"/>
          <w:szCs w:val="24"/>
          <w:lang w:val="es-ES"/>
        </w:rPr>
        <w:t xml:space="preserve"> 4,02</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B4391D">
        <w:rPr>
          <w:rFonts w:ascii="Arial" w:hAnsi="Arial" w:cs="Arial"/>
          <w:color w:val="000000" w:themeColor="text1"/>
          <w:sz w:val="24"/>
          <w:szCs w:val="24"/>
          <w:lang w:val="es-ES"/>
        </w:rPr>
        <w:t>8</w:t>
      </w:r>
      <w:r w:rsidR="00A46C1D">
        <w:rPr>
          <w:rFonts w:ascii="Arial" w:hAnsi="Arial" w:cs="Arial"/>
          <w:color w:val="000000" w:themeColor="text1"/>
          <w:sz w:val="24"/>
          <w:szCs w:val="24"/>
          <w:lang w:val="es-ES"/>
        </w:rPr>
        <w:t>8</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xml:space="preserve">, el </w:t>
      </w:r>
      <w:r w:rsidR="004B5C9D">
        <w:rPr>
          <w:rFonts w:ascii="Arial" w:hAnsi="Arial" w:cs="Arial"/>
          <w:color w:val="000000" w:themeColor="text1"/>
          <w:sz w:val="24"/>
          <w:szCs w:val="24"/>
          <w:lang w:val="es-ES"/>
        </w:rPr>
        <w:t>canal</w:t>
      </w:r>
      <w:r w:rsidR="00416439" w:rsidRPr="003F6B94">
        <w:rPr>
          <w:rFonts w:ascii="Arial" w:hAnsi="Arial" w:cs="Arial"/>
          <w:color w:val="000000" w:themeColor="text1"/>
          <w:sz w:val="24"/>
          <w:szCs w:val="24"/>
          <w:lang w:val="es-ES"/>
        </w:rPr>
        <w:t xml:space="preserve"> </w:t>
      </w:r>
      <w:r w:rsidR="00B4391D">
        <w:rPr>
          <w:rFonts w:ascii="Arial" w:hAnsi="Arial" w:cs="Arial"/>
          <w:color w:val="000000" w:themeColor="text1"/>
          <w:sz w:val="24"/>
          <w:szCs w:val="24"/>
          <w:lang w:val="es-ES"/>
        </w:rPr>
        <w:t>E-</w:t>
      </w:r>
      <w:r w:rsidR="000A3AEE">
        <w:rPr>
          <w:rFonts w:ascii="Arial" w:hAnsi="Arial" w:cs="Arial"/>
          <w:color w:val="000000" w:themeColor="text1"/>
          <w:sz w:val="24"/>
          <w:szCs w:val="24"/>
          <w:lang w:val="es-ES"/>
        </w:rPr>
        <w:t>mail</w:t>
      </w:r>
      <w:r w:rsidR="00B4391D">
        <w:rPr>
          <w:rFonts w:ascii="Arial" w:hAnsi="Arial" w:cs="Arial"/>
          <w:color w:val="000000" w:themeColor="text1"/>
          <w:sz w:val="24"/>
          <w:szCs w:val="24"/>
          <w:lang w:val="es-ES"/>
        </w:rPr>
        <w:t xml:space="preserve"> </w:t>
      </w:r>
      <w:r w:rsidR="00416439" w:rsidRPr="003F6B94">
        <w:rPr>
          <w:rFonts w:ascii="Arial" w:hAnsi="Arial" w:cs="Arial"/>
          <w:color w:val="000000" w:themeColor="text1"/>
          <w:sz w:val="24"/>
          <w:szCs w:val="24"/>
          <w:lang w:val="es-ES"/>
        </w:rPr>
        <w:t xml:space="preserve">con </w:t>
      </w:r>
      <w:r w:rsidR="00B4391D">
        <w:rPr>
          <w:rFonts w:ascii="Arial" w:hAnsi="Arial" w:cs="Arial"/>
          <w:color w:val="000000" w:themeColor="text1"/>
          <w:sz w:val="24"/>
          <w:szCs w:val="24"/>
          <w:lang w:val="es-ES"/>
        </w:rPr>
        <w:t xml:space="preserve">un 3,80% </w:t>
      </w:r>
      <w:r w:rsidR="00416439" w:rsidRPr="003F6B94">
        <w:rPr>
          <w:rFonts w:ascii="Arial" w:hAnsi="Arial" w:cs="Arial"/>
          <w:color w:val="000000" w:themeColor="text1"/>
          <w:sz w:val="24"/>
          <w:szCs w:val="24"/>
          <w:lang w:val="es-ES"/>
        </w:rPr>
        <w:t>(</w:t>
      </w:r>
      <w:r w:rsidR="00B4391D">
        <w:rPr>
          <w:rFonts w:ascii="Arial" w:hAnsi="Arial" w:cs="Arial"/>
          <w:color w:val="000000" w:themeColor="text1"/>
          <w:sz w:val="24"/>
          <w:szCs w:val="24"/>
          <w:lang w:val="es-ES"/>
        </w:rPr>
        <w:t>83</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el canal Presencial con un 2,19% (48) y por último, el canal Teléfono con un 0,18% (4)</w:t>
      </w:r>
      <w:r w:rsidR="004B5C9D">
        <w:rPr>
          <w:rFonts w:ascii="Arial" w:hAnsi="Arial" w:cs="Arial"/>
          <w:color w:val="000000" w:themeColor="text1"/>
          <w:sz w:val="24"/>
          <w:szCs w:val="24"/>
          <w:lang w:val="es-ES"/>
        </w:rPr>
        <w:t>.</w:t>
      </w:r>
    </w:p>
    <w:p w:rsidR="00622443" w:rsidRDefault="00622443" w:rsidP="00EF1BFD">
      <w:pPr>
        <w:spacing w:after="0" w:line="240" w:lineRule="auto"/>
        <w:jc w:val="both"/>
        <w:rPr>
          <w:rFonts w:ascii="Arial" w:hAnsi="Arial" w:cs="Arial"/>
          <w:color w:val="FF0000"/>
          <w:sz w:val="24"/>
          <w:szCs w:val="24"/>
        </w:rPr>
      </w:pPr>
    </w:p>
    <w:p w:rsidR="00DE41C8" w:rsidRPr="000E41F2" w:rsidRDefault="00DE41C8" w:rsidP="00EF1BFD">
      <w:pPr>
        <w:spacing w:after="0" w:line="240" w:lineRule="auto"/>
        <w:jc w:val="both"/>
        <w:rPr>
          <w:rFonts w:ascii="Arial" w:hAnsi="Arial" w:cs="Arial"/>
          <w:color w:val="FF0000"/>
          <w:sz w:val="24"/>
          <w:szCs w:val="24"/>
        </w:rPr>
      </w:pPr>
      <w:r>
        <w:rPr>
          <w:noProof/>
          <w:lang w:eastAsia="es-CO"/>
        </w:rPr>
        <w:drawing>
          <wp:inline distT="0" distB="0" distL="0" distR="0" wp14:anchorId="612D6CBB" wp14:editId="26B12EA8">
            <wp:extent cx="5905500" cy="3533775"/>
            <wp:effectExtent l="0" t="0" r="0" b="9525"/>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8281E02-3A49-4485-884D-652D12F7F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0F7C" w:rsidRDefault="00EA0F7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A46C1D" w:rsidRDefault="00A46C1D" w:rsidP="00EF1BFD">
      <w:pPr>
        <w:spacing w:after="0" w:line="240" w:lineRule="auto"/>
        <w:jc w:val="both"/>
        <w:rPr>
          <w:rFonts w:ascii="Arial" w:hAnsi="Arial" w:cs="Arial"/>
          <w:color w:val="000000" w:themeColor="text1"/>
          <w:sz w:val="18"/>
          <w:szCs w:val="18"/>
        </w:rPr>
      </w:pPr>
    </w:p>
    <w:p w:rsidR="006D3656" w:rsidRDefault="006D3656" w:rsidP="00EF1BFD">
      <w:pPr>
        <w:spacing w:after="0" w:line="240" w:lineRule="auto"/>
        <w:jc w:val="both"/>
        <w:rPr>
          <w:rFonts w:ascii="Arial" w:hAnsi="Arial" w:cs="Arial"/>
          <w:color w:val="000000" w:themeColor="text1"/>
          <w:sz w:val="18"/>
          <w:szCs w:val="18"/>
        </w:rPr>
      </w:pPr>
    </w:p>
    <w:p w:rsidR="001775AA" w:rsidRPr="00DF7866" w:rsidRDefault="00877EAB" w:rsidP="00EF1BFD">
      <w:pPr>
        <w:pStyle w:val="Ttulo2"/>
        <w:spacing w:before="0" w:after="0" w:line="240" w:lineRule="auto"/>
        <w:rPr>
          <w:rFonts w:cs="Arial"/>
          <w:szCs w:val="24"/>
        </w:rPr>
      </w:pPr>
      <w:bookmarkStart w:id="9" w:name="_Toc16758365"/>
      <w:r w:rsidRPr="00DF7866">
        <w:rPr>
          <w:rFonts w:cs="Arial"/>
          <w:szCs w:val="24"/>
        </w:rPr>
        <w:lastRenderedPageBreak/>
        <w:t>Tipologías</w:t>
      </w:r>
      <w:bookmarkEnd w:id="9"/>
    </w:p>
    <w:p w:rsidR="00BE55C8" w:rsidRPr="00DF7866" w:rsidRDefault="00BE55C8" w:rsidP="00EF1BFD">
      <w:pPr>
        <w:spacing w:after="0" w:line="240" w:lineRule="auto"/>
        <w:jc w:val="both"/>
        <w:rPr>
          <w:rFonts w:ascii="Arial" w:hAnsi="Arial" w:cs="Arial"/>
          <w:sz w:val="24"/>
          <w:szCs w:val="24"/>
        </w:rPr>
      </w:pPr>
    </w:p>
    <w:p w:rsidR="0055724D" w:rsidRDefault="00616D89" w:rsidP="00EF1BFD">
      <w:pPr>
        <w:spacing w:after="0" w:line="240" w:lineRule="auto"/>
        <w:jc w:val="both"/>
        <w:rPr>
          <w:rFonts w:ascii="Arial" w:hAnsi="Arial" w:cs="Arial"/>
          <w:sz w:val="24"/>
          <w:szCs w:val="24"/>
        </w:rPr>
      </w:pPr>
      <w:r w:rsidRPr="00591CD8">
        <w:rPr>
          <w:rFonts w:ascii="Arial" w:hAnsi="Arial" w:cs="Arial"/>
          <w:sz w:val="24"/>
          <w:szCs w:val="24"/>
        </w:rPr>
        <w:t>De</w:t>
      </w:r>
      <w:r w:rsidR="0075666C">
        <w:rPr>
          <w:rFonts w:ascii="Arial" w:hAnsi="Arial" w:cs="Arial"/>
          <w:sz w:val="24"/>
          <w:szCs w:val="24"/>
        </w:rPr>
        <w:t xml:space="preserve"> </w:t>
      </w:r>
      <w:r w:rsidRPr="00591CD8">
        <w:rPr>
          <w:rFonts w:ascii="Arial" w:hAnsi="Arial" w:cs="Arial"/>
          <w:sz w:val="24"/>
          <w:szCs w:val="24"/>
        </w:rPr>
        <w:t>l</w:t>
      </w:r>
      <w:r w:rsidR="0075666C">
        <w:rPr>
          <w:rFonts w:ascii="Arial" w:hAnsi="Arial" w:cs="Arial"/>
          <w:sz w:val="24"/>
          <w:szCs w:val="24"/>
        </w:rPr>
        <w:t>as 2</w:t>
      </w:r>
      <w:r w:rsidR="005960AD">
        <w:rPr>
          <w:rFonts w:ascii="Arial" w:hAnsi="Arial" w:cs="Arial"/>
          <w:sz w:val="24"/>
          <w:szCs w:val="24"/>
        </w:rPr>
        <w:t>.</w:t>
      </w:r>
      <w:r w:rsidR="0075666C">
        <w:rPr>
          <w:rFonts w:ascii="Arial" w:hAnsi="Arial" w:cs="Arial"/>
          <w:sz w:val="24"/>
          <w:szCs w:val="24"/>
        </w:rPr>
        <w:t xml:space="preserve">187 (100%) </w:t>
      </w:r>
      <w:r w:rsidRPr="00591CD8">
        <w:rPr>
          <w:rFonts w:ascii="Arial" w:hAnsi="Arial" w:cs="Arial"/>
          <w:sz w:val="24"/>
          <w:szCs w:val="24"/>
        </w:rPr>
        <w:t>PQRSD recibidas en</w:t>
      </w:r>
      <w:r w:rsidR="0075666C">
        <w:rPr>
          <w:rFonts w:ascii="Arial" w:hAnsi="Arial" w:cs="Arial"/>
          <w:sz w:val="24"/>
          <w:szCs w:val="24"/>
        </w:rPr>
        <w:t xml:space="preserve"> el primer semestre de 2019</w:t>
      </w:r>
      <w:r w:rsidRPr="00591CD8">
        <w:rPr>
          <w:rFonts w:ascii="Arial" w:hAnsi="Arial" w:cs="Arial"/>
          <w:sz w:val="24"/>
          <w:szCs w:val="24"/>
        </w:rPr>
        <w:t xml:space="preserve">, el Derecho de Petición de Interés Particular fue la tipología más utilizada por la ciudadanía, con una participación del </w:t>
      </w:r>
      <w:r w:rsidR="00CE6341">
        <w:rPr>
          <w:rFonts w:ascii="Arial" w:hAnsi="Arial" w:cs="Arial"/>
          <w:sz w:val="24"/>
          <w:szCs w:val="24"/>
        </w:rPr>
        <w:t>77,82</w:t>
      </w:r>
      <w:r w:rsidR="005960AD">
        <w:rPr>
          <w:rFonts w:ascii="Arial" w:hAnsi="Arial" w:cs="Arial"/>
          <w:sz w:val="24"/>
          <w:szCs w:val="24"/>
        </w:rPr>
        <w:t>%</w:t>
      </w:r>
      <w:r w:rsidR="00CE6341">
        <w:rPr>
          <w:rFonts w:ascii="Arial" w:hAnsi="Arial" w:cs="Arial"/>
          <w:sz w:val="24"/>
          <w:szCs w:val="24"/>
        </w:rPr>
        <w:t xml:space="preserve"> (1</w:t>
      </w:r>
      <w:r w:rsidR="005960AD">
        <w:rPr>
          <w:rFonts w:ascii="Arial" w:hAnsi="Arial" w:cs="Arial"/>
          <w:sz w:val="24"/>
          <w:szCs w:val="24"/>
        </w:rPr>
        <w:t>.</w:t>
      </w:r>
      <w:r w:rsidR="00CE6341">
        <w:rPr>
          <w:rFonts w:ascii="Arial" w:hAnsi="Arial" w:cs="Arial"/>
          <w:sz w:val="24"/>
          <w:szCs w:val="24"/>
        </w:rPr>
        <w:t>702)</w:t>
      </w:r>
      <w:r w:rsidRPr="00591CD8">
        <w:rPr>
          <w:rFonts w:ascii="Arial" w:hAnsi="Arial" w:cs="Arial"/>
          <w:sz w:val="24"/>
          <w:szCs w:val="24"/>
        </w:rPr>
        <w:t>, seguido de</w:t>
      </w:r>
      <w:r w:rsidR="005960AD">
        <w:rPr>
          <w:rFonts w:ascii="Arial" w:hAnsi="Arial" w:cs="Arial"/>
          <w:sz w:val="24"/>
          <w:szCs w:val="24"/>
        </w:rPr>
        <w:t xml:space="preserve"> los Derechos de Petición de Interés General con 7,32</w:t>
      </w:r>
      <w:r w:rsidR="00630109">
        <w:rPr>
          <w:rFonts w:ascii="Arial" w:hAnsi="Arial" w:cs="Arial"/>
          <w:sz w:val="24"/>
          <w:szCs w:val="24"/>
        </w:rPr>
        <w:t>% (160)</w:t>
      </w:r>
      <w:r w:rsidR="00896703">
        <w:rPr>
          <w:rFonts w:ascii="Arial" w:hAnsi="Arial" w:cs="Arial"/>
          <w:sz w:val="24"/>
          <w:szCs w:val="24"/>
        </w:rPr>
        <w:t xml:space="preserve"> y la</w:t>
      </w:r>
      <w:r w:rsidR="00523B1B">
        <w:rPr>
          <w:rFonts w:ascii="Arial" w:hAnsi="Arial" w:cs="Arial"/>
          <w:sz w:val="24"/>
          <w:szCs w:val="24"/>
        </w:rPr>
        <w:t>s</w:t>
      </w:r>
      <w:r w:rsidRPr="00591CD8">
        <w:rPr>
          <w:rFonts w:ascii="Arial" w:hAnsi="Arial" w:cs="Arial"/>
          <w:sz w:val="24"/>
          <w:szCs w:val="24"/>
        </w:rPr>
        <w:t xml:space="preserve"> </w:t>
      </w:r>
      <w:r w:rsidR="00416439">
        <w:rPr>
          <w:rFonts w:ascii="Arial" w:hAnsi="Arial" w:cs="Arial"/>
          <w:sz w:val="24"/>
          <w:szCs w:val="24"/>
        </w:rPr>
        <w:t>Solicitud</w:t>
      </w:r>
      <w:r w:rsidR="00523B1B">
        <w:rPr>
          <w:rFonts w:ascii="Arial" w:hAnsi="Arial" w:cs="Arial"/>
          <w:sz w:val="24"/>
          <w:szCs w:val="24"/>
        </w:rPr>
        <w:t>es</w:t>
      </w:r>
      <w:r w:rsidR="00416439">
        <w:rPr>
          <w:rFonts w:ascii="Arial" w:hAnsi="Arial" w:cs="Arial"/>
          <w:sz w:val="24"/>
          <w:szCs w:val="24"/>
        </w:rPr>
        <w:t xml:space="preserve"> de Copia</w:t>
      </w:r>
      <w:r w:rsidRPr="00591CD8">
        <w:rPr>
          <w:rFonts w:ascii="Arial" w:hAnsi="Arial" w:cs="Arial"/>
          <w:sz w:val="24"/>
          <w:szCs w:val="24"/>
        </w:rPr>
        <w:t xml:space="preserve"> con un </w:t>
      </w:r>
      <w:r w:rsidR="00896703">
        <w:rPr>
          <w:rFonts w:ascii="Arial" w:hAnsi="Arial" w:cs="Arial"/>
          <w:sz w:val="24"/>
          <w:szCs w:val="24"/>
        </w:rPr>
        <w:t>6,40</w:t>
      </w:r>
      <w:r w:rsidRPr="00591CD8">
        <w:rPr>
          <w:rFonts w:ascii="Arial" w:hAnsi="Arial" w:cs="Arial"/>
          <w:sz w:val="24"/>
          <w:szCs w:val="24"/>
        </w:rPr>
        <w:t>% (</w:t>
      </w:r>
      <w:r w:rsidR="00896703">
        <w:rPr>
          <w:rFonts w:ascii="Arial" w:hAnsi="Arial" w:cs="Arial"/>
          <w:sz w:val="24"/>
          <w:szCs w:val="24"/>
        </w:rPr>
        <w:t>140</w:t>
      </w:r>
      <w:r w:rsidRPr="00591CD8">
        <w:rPr>
          <w:rFonts w:ascii="Arial" w:hAnsi="Arial" w:cs="Arial"/>
          <w:sz w:val="24"/>
          <w:szCs w:val="24"/>
        </w:rPr>
        <w:t>)</w:t>
      </w:r>
      <w:r w:rsidR="00AE6124">
        <w:rPr>
          <w:rFonts w:ascii="Arial" w:hAnsi="Arial" w:cs="Arial"/>
          <w:sz w:val="24"/>
          <w:szCs w:val="24"/>
        </w:rPr>
        <w:t>, siendo estas las más representativas.</w:t>
      </w:r>
    </w:p>
    <w:p w:rsidR="00F318F9" w:rsidRDefault="00F318F9" w:rsidP="00EF1BFD">
      <w:pPr>
        <w:spacing w:after="0" w:line="240" w:lineRule="auto"/>
        <w:jc w:val="both"/>
        <w:rPr>
          <w:rFonts w:ascii="Arial" w:hAnsi="Arial" w:cs="Arial"/>
          <w:sz w:val="24"/>
          <w:szCs w:val="24"/>
        </w:rPr>
      </w:pPr>
    </w:p>
    <w:p w:rsidR="00F318F9" w:rsidRDefault="006F5485" w:rsidP="00EF1BFD">
      <w:pPr>
        <w:spacing w:after="0" w:line="240" w:lineRule="auto"/>
        <w:jc w:val="both"/>
        <w:rPr>
          <w:rFonts w:ascii="Arial" w:hAnsi="Arial" w:cs="Arial"/>
          <w:sz w:val="24"/>
          <w:szCs w:val="24"/>
        </w:rPr>
      </w:pPr>
      <w:r>
        <w:rPr>
          <w:noProof/>
          <w:lang w:eastAsia="es-CO"/>
        </w:rPr>
        <w:drawing>
          <wp:inline distT="0" distB="0" distL="0" distR="0" wp14:anchorId="7657AC02" wp14:editId="1C6EC5C9">
            <wp:extent cx="5972175" cy="4953000"/>
            <wp:effectExtent l="0" t="0" r="9525" b="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F09962C-2B19-4688-8499-C75DD525D8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55B9" w:rsidRPr="007E2536" w:rsidRDefault="007255B9" w:rsidP="007255B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F318F9" w:rsidRPr="00DF7866" w:rsidRDefault="00F318F9" w:rsidP="00EF1BFD">
      <w:pPr>
        <w:spacing w:after="0" w:line="240" w:lineRule="auto"/>
        <w:jc w:val="both"/>
        <w:rPr>
          <w:rFonts w:ascii="Arial" w:hAnsi="Arial" w:cs="Arial"/>
          <w:sz w:val="24"/>
          <w:szCs w:val="24"/>
        </w:rPr>
      </w:pPr>
    </w:p>
    <w:p w:rsidR="009404EF"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rsidR="00465189" w:rsidRPr="00591CD8" w:rsidRDefault="00465189" w:rsidP="00EF1BFD">
      <w:pPr>
        <w:spacing w:after="0" w:line="240" w:lineRule="auto"/>
        <w:jc w:val="both"/>
        <w:rPr>
          <w:rFonts w:ascii="Arial" w:hAnsi="Arial" w:cs="Arial"/>
          <w:color w:val="000000" w:themeColor="text1"/>
          <w:sz w:val="24"/>
          <w:szCs w:val="24"/>
        </w:rPr>
      </w:pP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w:t>
      </w:r>
      <w:r w:rsidR="004F7ACE">
        <w:rPr>
          <w:rFonts w:ascii="Arial" w:eastAsia="Times New Roman" w:hAnsi="Arial" w:cs="Arial"/>
          <w:color w:val="000000"/>
          <w:sz w:val="24"/>
          <w:szCs w:val="24"/>
          <w:lang w:eastAsia="es-CO"/>
        </w:rPr>
        <w:t>tudes de información recibidas</w:t>
      </w:r>
      <w:r w:rsidR="004F7ACE">
        <w:rPr>
          <w:rFonts w:ascii="Arial" w:eastAsia="Times New Roman" w:hAnsi="Arial" w:cs="Arial"/>
          <w:color w:val="000000"/>
          <w:sz w:val="24"/>
          <w:szCs w:val="24"/>
          <w:lang w:eastAsia="es-CO"/>
        </w:rPr>
        <w:tab/>
        <w:t xml:space="preserve">         </w:t>
      </w:r>
      <w:r w:rsidR="00124274">
        <w:rPr>
          <w:rFonts w:ascii="Arial" w:eastAsia="Times New Roman" w:hAnsi="Arial" w:cs="Arial"/>
          <w:color w:val="000000"/>
          <w:sz w:val="24"/>
          <w:szCs w:val="24"/>
          <w:lang w:eastAsia="es-CO"/>
        </w:rPr>
        <w:t>96</w:t>
      </w: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124274">
        <w:rPr>
          <w:rFonts w:ascii="Arial" w:eastAsia="Times New Roman" w:hAnsi="Arial" w:cs="Arial"/>
          <w:color w:val="000000"/>
          <w:sz w:val="24"/>
          <w:szCs w:val="24"/>
          <w:lang w:eastAsia="es-CO"/>
        </w:rPr>
        <w:t>1</w:t>
      </w:r>
    </w:p>
    <w:p w:rsidR="009404EF"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00C153B4"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0</w:t>
      </w:r>
    </w:p>
    <w:p w:rsidR="00C53FE8" w:rsidRDefault="00C53FE8" w:rsidP="00C53FE8">
      <w:pPr>
        <w:shd w:val="clear" w:color="auto" w:fill="FFFFFF"/>
        <w:spacing w:after="0" w:line="240" w:lineRule="auto"/>
        <w:ind w:left="720"/>
        <w:rPr>
          <w:rFonts w:ascii="Arial" w:eastAsia="Times New Roman" w:hAnsi="Arial" w:cs="Arial"/>
          <w:color w:val="000000"/>
          <w:sz w:val="24"/>
          <w:szCs w:val="24"/>
          <w:lang w:eastAsia="es-CO"/>
        </w:rPr>
      </w:pPr>
    </w:p>
    <w:p w:rsidR="00400CAC" w:rsidRDefault="00400CAC" w:rsidP="00C53FE8">
      <w:pPr>
        <w:shd w:val="clear" w:color="auto" w:fill="FFFFFF"/>
        <w:spacing w:after="0" w:line="240" w:lineRule="auto"/>
        <w:ind w:left="720"/>
        <w:rPr>
          <w:rFonts w:ascii="Arial" w:eastAsia="Times New Roman" w:hAnsi="Arial" w:cs="Arial"/>
          <w:color w:val="000000"/>
          <w:sz w:val="24"/>
          <w:szCs w:val="24"/>
          <w:lang w:eastAsia="es-CO"/>
        </w:rPr>
      </w:pPr>
    </w:p>
    <w:p w:rsidR="001C0358" w:rsidRPr="008D6A80" w:rsidRDefault="00877EAB" w:rsidP="00EF1BFD">
      <w:pPr>
        <w:pStyle w:val="Ttulo2"/>
        <w:spacing w:before="0" w:after="0" w:line="240" w:lineRule="auto"/>
        <w:rPr>
          <w:rFonts w:cs="Arial"/>
          <w:szCs w:val="24"/>
        </w:rPr>
      </w:pPr>
      <w:bookmarkStart w:id="10" w:name="_Toc16758366"/>
      <w:r w:rsidRPr="008D6A80">
        <w:rPr>
          <w:rFonts w:cs="Arial"/>
          <w:szCs w:val="24"/>
        </w:rPr>
        <w:t>Subtemas Más Reiterados</w:t>
      </w:r>
      <w:bookmarkEnd w:id="10"/>
      <w:r w:rsidRPr="008D6A80">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Pr="00FB7E75" w:rsidRDefault="00492FC8"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r w:rsidRPr="00FB7E75">
        <w:rPr>
          <w:rFonts w:ascii="Arial" w:eastAsia="Times New Roman" w:hAnsi="Arial" w:cs="Arial"/>
          <w:color w:val="0D0D0D" w:themeColor="text1" w:themeTint="F2"/>
          <w:sz w:val="24"/>
          <w:szCs w:val="24"/>
          <w:lang w:eastAsia="es-CO"/>
        </w:rPr>
        <w:t xml:space="preserve">Para </w:t>
      </w:r>
      <w:r w:rsidR="00EA3382">
        <w:rPr>
          <w:rFonts w:ascii="Arial" w:eastAsia="Times New Roman" w:hAnsi="Arial" w:cs="Arial"/>
          <w:color w:val="0D0D0D" w:themeColor="text1" w:themeTint="F2"/>
          <w:sz w:val="24"/>
          <w:szCs w:val="24"/>
          <w:lang w:eastAsia="es-CO"/>
        </w:rPr>
        <w:t>el primer semestre de 2019</w:t>
      </w:r>
      <w:r w:rsidRPr="00FB7E75">
        <w:rPr>
          <w:rFonts w:ascii="Arial" w:eastAsia="Times New Roman" w:hAnsi="Arial" w:cs="Arial"/>
          <w:color w:val="0D0D0D" w:themeColor="text1" w:themeTint="F2"/>
          <w:sz w:val="24"/>
          <w:szCs w:val="24"/>
          <w:lang w:eastAsia="es-CO"/>
        </w:rPr>
        <w:t xml:space="preserve">, </w:t>
      </w:r>
      <w:r w:rsidR="00EA3382">
        <w:rPr>
          <w:rFonts w:ascii="Arial" w:eastAsia="Times New Roman" w:hAnsi="Arial" w:cs="Arial"/>
          <w:color w:val="0D0D0D" w:themeColor="text1" w:themeTint="F2"/>
          <w:sz w:val="24"/>
          <w:szCs w:val="24"/>
          <w:lang w:eastAsia="es-CO"/>
        </w:rPr>
        <w:t xml:space="preserve">el </w:t>
      </w:r>
      <w:r w:rsidRPr="00FB7E75">
        <w:rPr>
          <w:rFonts w:ascii="Arial" w:eastAsia="Times New Roman" w:hAnsi="Arial" w:cs="Arial"/>
          <w:color w:val="0D0D0D" w:themeColor="text1" w:themeTint="F2"/>
          <w:sz w:val="24"/>
          <w:szCs w:val="24"/>
          <w:lang w:eastAsia="es-CO"/>
        </w:rPr>
        <w:t>subtema más solicitado fue</w:t>
      </w:r>
      <w:r w:rsidR="00EA3382">
        <w:rPr>
          <w:rFonts w:ascii="Arial" w:eastAsia="Times New Roman" w:hAnsi="Arial" w:cs="Arial"/>
          <w:color w:val="0D0D0D" w:themeColor="text1" w:themeTint="F2"/>
          <w:sz w:val="24"/>
          <w:szCs w:val="24"/>
          <w:lang w:eastAsia="es-CO"/>
        </w:rPr>
        <w:t xml:space="preserve"> el </w:t>
      </w:r>
      <w:r w:rsidRPr="00FB7E75">
        <w:rPr>
          <w:rFonts w:ascii="Arial" w:hAnsi="Arial" w:cs="Arial"/>
          <w:color w:val="0D0D0D" w:themeColor="text1" w:themeTint="F2"/>
          <w:sz w:val="24"/>
          <w:szCs w:val="24"/>
        </w:rPr>
        <w:t xml:space="preserve">Programa de Reasentamientos Humanos con un </w:t>
      </w:r>
      <w:r w:rsidR="00EA3382">
        <w:rPr>
          <w:rFonts w:ascii="Arial" w:hAnsi="Arial" w:cs="Arial"/>
          <w:color w:val="0D0D0D" w:themeColor="text1" w:themeTint="F2"/>
          <w:sz w:val="24"/>
          <w:szCs w:val="24"/>
        </w:rPr>
        <w:t>24,51% (</w:t>
      </w:r>
      <w:r w:rsidR="008F60C5">
        <w:rPr>
          <w:rFonts w:ascii="Arial" w:hAnsi="Arial" w:cs="Arial"/>
          <w:color w:val="0D0D0D" w:themeColor="text1" w:themeTint="F2"/>
          <w:sz w:val="24"/>
          <w:szCs w:val="24"/>
        </w:rPr>
        <w:t>536)</w:t>
      </w:r>
      <w:r w:rsidRPr="00FB7E75">
        <w:rPr>
          <w:rFonts w:ascii="Arial" w:hAnsi="Arial" w:cs="Arial"/>
          <w:color w:val="0D0D0D" w:themeColor="text1" w:themeTint="F2"/>
          <w:sz w:val="24"/>
          <w:szCs w:val="24"/>
        </w:rPr>
        <w:t>.</w:t>
      </w:r>
    </w:p>
    <w:p w:rsidR="00537113" w:rsidRDefault="00537113"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GridTable4Accent1"/>
        <w:tblW w:w="9356" w:type="dxa"/>
        <w:tblInd w:w="108" w:type="dxa"/>
        <w:tblLook w:val="04A0" w:firstRow="1" w:lastRow="0" w:firstColumn="1" w:lastColumn="0" w:noHBand="0" w:noVBand="1"/>
      </w:tblPr>
      <w:tblGrid>
        <w:gridCol w:w="5387"/>
        <w:gridCol w:w="1985"/>
        <w:gridCol w:w="1984"/>
      </w:tblGrid>
      <w:tr w:rsidR="00B00B7D" w:rsidRPr="00B00B7D" w:rsidTr="006A6BF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val="es-ES" w:eastAsia="es-CO"/>
              </w:rPr>
              <w:t>TABLA No. 2 - PQRSD INTERPUESTAS POR SUBTEMAS</w:t>
            </w:r>
          </w:p>
        </w:tc>
      </w:tr>
      <w:tr w:rsidR="00B00B7D" w:rsidRPr="00B00B7D"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eastAsia="es-CO"/>
              </w:rPr>
              <w:t>SUBTEMA</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PORCENTAJE (%)</w:t>
            </w:r>
          </w:p>
        </w:tc>
      </w:tr>
      <w:tr w:rsidR="007E2539" w:rsidRPr="00B46B4E" w:rsidTr="006A6B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tcBorders>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Programa de Reasentamientos Humanos</w:t>
            </w:r>
          </w:p>
        </w:tc>
        <w:tc>
          <w:tcPr>
            <w:tcW w:w="1985" w:type="dxa"/>
            <w:tcBorders>
              <w:top w:val="single" w:sz="4" w:space="0" w:color="FFFFFF" w:themeColor="background1"/>
            </w:tcBorders>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536</w:t>
            </w:r>
          </w:p>
        </w:tc>
        <w:tc>
          <w:tcPr>
            <w:tcW w:w="1984" w:type="dxa"/>
            <w:tcBorders>
              <w:top w:val="single" w:sz="4" w:space="0" w:color="FFFFFF" w:themeColor="background1"/>
            </w:tcBorders>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24,51%</w:t>
            </w:r>
          </w:p>
        </w:tc>
      </w:tr>
      <w:tr w:rsidR="007E2539" w:rsidRPr="00B46B4E" w:rsidTr="006A6BF9">
        <w:trPr>
          <w:trHeight w:val="340"/>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Titulación Predial en Estratos 1 y 2</w:t>
            </w:r>
          </w:p>
        </w:tc>
        <w:tc>
          <w:tcPr>
            <w:tcW w:w="1985" w:type="dxa"/>
            <w:shd w:val="clear" w:color="auto" w:fill="auto"/>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471</w:t>
            </w:r>
          </w:p>
        </w:tc>
        <w:tc>
          <w:tcPr>
            <w:tcW w:w="1984" w:type="dxa"/>
            <w:shd w:val="clear" w:color="auto" w:fill="auto"/>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21,54%</w:t>
            </w:r>
          </w:p>
        </w:tc>
      </w:tr>
      <w:tr w:rsidR="007E2539" w:rsidRPr="00B46B4E" w:rsidTr="006A6B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Atención y Servicio a la Ciudadanía</w:t>
            </w:r>
          </w:p>
        </w:tc>
        <w:tc>
          <w:tcPr>
            <w:tcW w:w="1985"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159</w:t>
            </w:r>
          </w:p>
        </w:tc>
        <w:tc>
          <w:tcPr>
            <w:tcW w:w="1984"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7,27%</w:t>
            </w:r>
          </w:p>
        </w:tc>
      </w:tr>
      <w:tr w:rsidR="007E2539" w:rsidRPr="00B46B4E" w:rsidTr="006A6BF9">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Subsidio para mejoramiento de vivienda</w:t>
            </w:r>
          </w:p>
        </w:tc>
        <w:tc>
          <w:tcPr>
            <w:tcW w:w="1985"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155</w:t>
            </w:r>
          </w:p>
        </w:tc>
        <w:tc>
          <w:tcPr>
            <w:tcW w:w="1984"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7,09%</w:t>
            </w:r>
          </w:p>
        </w:tc>
      </w:tr>
      <w:tr w:rsidR="007E2539" w:rsidRPr="00B46B4E" w:rsidTr="006A6B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Obras de Intervención en Mejoras de Barrios</w:t>
            </w:r>
          </w:p>
        </w:tc>
        <w:tc>
          <w:tcPr>
            <w:tcW w:w="1985"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54</w:t>
            </w:r>
          </w:p>
        </w:tc>
        <w:tc>
          <w:tcPr>
            <w:tcW w:w="1984"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2,47%</w:t>
            </w:r>
          </w:p>
        </w:tc>
      </w:tr>
      <w:tr w:rsidR="007E2539" w:rsidRPr="00B46B4E" w:rsidTr="006A6BF9">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Asistencia Técnica para Licencia de Construcción</w:t>
            </w:r>
          </w:p>
        </w:tc>
        <w:tc>
          <w:tcPr>
            <w:tcW w:w="1985"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2</w:t>
            </w:r>
          </w:p>
        </w:tc>
        <w:tc>
          <w:tcPr>
            <w:tcW w:w="1984"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0,09%</w:t>
            </w:r>
          </w:p>
        </w:tc>
      </w:tr>
      <w:tr w:rsidR="007E2539" w:rsidRPr="00B46B4E" w:rsidTr="006A6B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b w:val="0"/>
                <w:color w:val="0D0D0D" w:themeColor="text1" w:themeTint="F2"/>
                <w:sz w:val="20"/>
                <w:szCs w:val="20"/>
                <w:lang w:eastAsia="es-CO"/>
              </w:rPr>
            </w:pPr>
            <w:r w:rsidRPr="00537113">
              <w:rPr>
                <w:rFonts w:ascii="Arial" w:eastAsia="Times New Roman" w:hAnsi="Arial" w:cs="Arial"/>
                <w:b w:val="0"/>
                <w:color w:val="0D0D0D" w:themeColor="text1" w:themeTint="F2"/>
                <w:sz w:val="20"/>
                <w:szCs w:val="20"/>
                <w:lang w:eastAsia="es-CO"/>
              </w:rPr>
              <w:t>Relocalización transitoria de familias</w:t>
            </w:r>
          </w:p>
        </w:tc>
        <w:tc>
          <w:tcPr>
            <w:tcW w:w="1985"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1</w:t>
            </w:r>
          </w:p>
        </w:tc>
        <w:tc>
          <w:tcPr>
            <w:tcW w:w="1984" w:type="dxa"/>
            <w:noWrap/>
            <w:vAlign w:val="center"/>
            <w:hideMark/>
          </w:tcPr>
          <w:p w:rsidR="00537113" w:rsidRPr="00537113" w:rsidRDefault="00537113"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0,05%</w:t>
            </w:r>
          </w:p>
        </w:tc>
      </w:tr>
      <w:tr w:rsidR="007E2539" w:rsidRPr="00B46B4E" w:rsidTr="006A6BF9">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FB6CD0" w:rsidRDefault="00537113" w:rsidP="00EF0494">
            <w:pPr>
              <w:spacing w:after="0" w:line="240" w:lineRule="auto"/>
              <w:rPr>
                <w:rFonts w:ascii="Arial" w:eastAsia="Times New Roman" w:hAnsi="Arial" w:cs="Arial"/>
                <w:color w:val="0D0D0D" w:themeColor="text1" w:themeTint="F2"/>
                <w:sz w:val="20"/>
                <w:szCs w:val="20"/>
                <w:lang w:eastAsia="es-CO"/>
              </w:rPr>
            </w:pPr>
            <w:r w:rsidRPr="00FB6CD0">
              <w:rPr>
                <w:rFonts w:ascii="Arial" w:eastAsia="Times New Roman" w:hAnsi="Arial" w:cs="Arial"/>
                <w:color w:val="0D0D0D" w:themeColor="text1" w:themeTint="F2"/>
                <w:sz w:val="20"/>
                <w:szCs w:val="20"/>
                <w:lang w:eastAsia="es-CO"/>
              </w:rPr>
              <w:t>Total 5 subtemas</w:t>
            </w:r>
          </w:p>
        </w:tc>
        <w:tc>
          <w:tcPr>
            <w:tcW w:w="1985" w:type="dxa"/>
            <w:noWrap/>
            <w:vAlign w:val="center"/>
            <w:hideMark/>
          </w:tcPr>
          <w:p w:rsidR="00537113" w:rsidRPr="00FB6CD0"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D0D0D" w:themeColor="text1" w:themeTint="F2"/>
                <w:sz w:val="20"/>
                <w:szCs w:val="20"/>
                <w:lang w:eastAsia="es-CO"/>
              </w:rPr>
            </w:pPr>
            <w:r w:rsidRPr="00FB6CD0">
              <w:rPr>
                <w:rFonts w:ascii="Arial" w:eastAsia="Times New Roman" w:hAnsi="Arial" w:cs="Arial"/>
                <w:b/>
                <w:color w:val="0D0D0D" w:themeColor="text1" w:themeTint="F2"/>
                <w:sz w:val="20"/>
                <w:szCs w:val="20"/>
                <w:lang w:eastAsia="es-CO"/>
              </w:rPr>
              <w:t>1</w:t>
            </w:r>
            <w:r w:rsidR="00A673B9">
              <w:rPr>
                <w:rFonts w:ascii="Arial" w:eastAsia="Times New Roman" w:hAnsi="Arial" w:cs="Arial"/>
                <w:b/>
                <w:color w:val="0D0D0D" w:themeColor="text1" w:themeTint="F2"/>
                <w:sz w:val="20"/>
                <w:szCs w:val="20"/>
                <w:lang w:eastAsia="es-CO"/>
              </w:rPr>
              <w:t>.</w:t>
            </w:r>
            <w:r w:rsidR="002B07E7">
              <w:rPr>
                <w:rFonts w:ascii="Arial" w:eastAsia="Times New Roman" w:hAnsi="Arial" w:cs="Arial"/>
                <w:b/>
                <w:color w:val="0D0D0D" w:themeColor="text1" w:themeTint="F2"/>
                <w:sz w:val="20"/>
                <w:szCs w:val="20"/>
                <w:lang w:eastAsia="es-CO"/>
              </w:rPr>
              <w:t>378</w:t>
            </w:r>
          </w:p>
        </w:tc>
        <w:tc>
          <w:tcPr>
            <w:tcW w:w="1984" w:type="dxa"/>
            <w:noWrap/>
            <w:vAlign w:val="center"/>
            <w:hideMark/>
          </w:tcPr>
          <w:p w:rsidR="00537113" w:rsidRPr="00FB6CD0" w:rsidRDefault="002B07E7"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20"/>
                <w:szCs w:val="20"/>
                <w:lang w:eastAsia="es-CO"/>
              </w:rPr>
            </w:pPr>
            <w:r>
              <w:rPr>
                <w:rFonts w:ascii="Arial" w:eastAsia="Times New Roman" w:hAnsi="Arial" w:cs="Arial"/>
                <w:b/>
                <w:bCs/>
                <w:color w:val="0D0D0D" w:themeColor="text1" w:themeTint="F2"/>
                <w:sz w:val="20"/>
                <w:szCs w:val="20"/>
                <w:lang w:eastAsia="es-CO"/>
              </w:rPr>
              <w:t>63,01</w:t>
            </w:r>
            <w:r w:rsidR="00537113" w:rsidRPr="00FB6CD0">
              <w:rPr>
                <w:rFonts w:ascii="Arial" w:eastAsia="Times New Roman" w:hAnsi="Arial" w:cs="Arial"/>
                <w:b/>
                <w:bCs/>
                <w:color w:val="0D0D0D" w:themeColor="text1" w:themeTint="F2"/>
                <w:sz w:val="20"/>
                <w:szCs w:val="20"/>
                <w:lang w:eastAsia="es-CO"/>
              </w:rPr>
              <w:t>%</w:t>
            </w:r>
          </w:p>
        </w:tc>
      </w:tr>
      <w:tr w:rsidR="007E2539" w:rsidRPr="00B46B4E" w:rsidTr="006A6BF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E24299" w:rsidRDefault="00537113" w:rsidP="00EF0494">
            <w:pPr>
              <w:spacing w:after="0" w:line="240" w:lineRule="auto"/>
              <w:rPr>
                <w:rFonts w:ascii="Arial" w:eastAsia="Times New Roman" w:hAnsi="Arial" w:cs="Arial"/>
                <w:b w:val="0"/>
                <w:color w:val="0D0D0D" w:themeColor="text1" w:themeTint="F2"/>
                <w:sz w:val="20"/>
                <w:szCs w:val="20"/>
                <w:lang w:eastAsia="es-CO"/>
              </w:rPr>
            </w:pPr>
            <w:r w:rsidRPr="00E24299">
              <w:rPr>
                <w:rFonts w:ascii="Arial" w:eastAsia="Times New Roman" w:hAnsi="Arial" w:cs="Arial"/>
                <w:b w:val="0"/>
                <w:color w:val="0D0D0D" w:themeColor="text1" w:themeTint="F2"/>
                <w:sz w:val="20"/>
                <w:szCs w:val="20"/>
                <w:lang w:eastAsia="es-CO"/>
              </w:rPr>
              <w:t>Otros Subtemas</w:t>
            </w:r>
          </w:p>
        </w:tc>
        <w:tc>
          <w:tcPr>
            <w:tcW w:w="1985" w:type="dxa"/>
            <w:noWrap/>
            <w:vAlign w:val="center"/>
            <w:hideMark/>
          </w:tcPr>
          <w:p w:rsidR="00537113" w:rsidRPr="00537113" w:rsidRDefault="002B07E7"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Pr>
                <w:rFonts w:ascii="Arial" w:eastAsia="Times New Roman" w:hAnsi="Arial" w:cs="Arial"/>
                <w:color w:val="0D0D0D" w:themeColor="text1" w:themeTint="F2"/>
                <w:sz w:val="20"/>
                <w:szCs w:val="20"/>
                <w:lang w:eastAsia="es-CO"/>
              </w:rPr>
              <w:t>809</w:t>
            </w:r>
          </w:p>
        </w:tc>
        <w:tc>
          <w:tcPr>
            <w:tcW w:w="1984" w:type="dxa"/>
            <w:noWrap/>
            <w:vAlign w:val="center"/>
            <w:hideMark/>
          </w:tcPr>
          <w:p w:rsidR="00537113" w:rsidRPr="00537113" w:rsidRDefault="002B07E7" w:rsidP="004622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themeColor="text1" w:themeTint="F2"/>
                <w:sz w:val="20"/>
                <w:szCs w:val="20"/>
                <w:lang w:eastAsia="es-CO"/>
              </w:rPr>
            </w:pPr>
            <w:r>
              <w:rPr>
                <w:rFonts w:ascii="Arial" w:eastAsia="Times New Roman" w:hAnsi="Arial" w:cs="Arial"/>
                <w:color w:val="0D0D0D" w:themeColor="text1" w:themeTint="F2"/>
                <w:sz w:val="20"/>
                <w:szCs w:val="20"/>
                <w:lang w:eastAsia="es-CO"/>
              </w:rPr>
              <w:t>36,99</w:t>
            </w:r>
            <w:r w:rsidR="00537113" w:rsidRPr="00537113">
              <w:rPr>
                <w:rFonts w:ascii="Arial" w:eastAsia="Times New Roman" w:hAnsi="Arial" w:cs="Arial"/>
                <w:color w:val="0D0D0D" w:themeColor="text1" w:themeTint="F2"/>
                <w:sz w:val="20"/>
                <w:szCs w:val="20"/>
                <w:lang w:eastAsia="es-CO"/>
              </w:rPr>
              <w:t>%</w:t>
            </w:r>
          </w:p>
        </w:tc>
      </w:tr>
      <w:tr w:rsidR="007E2539"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hideMark/>
          </w:tcPr>
          <w:p w:rsidR="00537113" w:rsidRPr="00537113" w:rsidRDefault="00537113" w:rsidP="00EF0494">
            <w:pPr>
              <w:spacing w:after="0" w:line="240" w:lineRule="auto"/>
              <w:rPr>
                <w:rFonts w:ascii="Arial" w:eastAsia="Times New Roman" w:hAnsi="Arial" w:cs="Arial"/>
                <w:color w:val="0D0D0D" w:themeColor="text1" w:themeTint="F2"/>
                <w:sz w:val="20"/>
                <w:szCs w:val="20"/>
                <w:lang w:eastAsia="es-CO"/>
              </w:rPr>
            </w:pPr>
            <w:r w:rsidRPr="00537113">
              <w:rPr>
                <w:rFonts w:ascii="Arial" w:eastAsia="Times New Roman" w:hAnsi="Arial" w:cs="Arial"/>
                <w:color w:val="0D0D0D" w:themeColor="text1" w:themeTint="F2"/>
                <w:sz w:val="20"/>
                <w:szCs w:val="20"/>
                <w:lang w:eastAsia="es-CO"/>
              </w:rPr>
              <w:t>TOTAL</w:t>
            </w:r>
          </w:p>
        </w:tc>
        <w:tc>
          <w:tcPr>
            <w:tcW w:w="1985"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20"/>
                <w:szCs w:val="20"/>
                <w:lang w:eastAsia="es-CO"/>
              </w:rPr>
            </w:pPr>
            <w:r w:rsidRPr="00537113">
              <w:rPr>
                <w:rFonts w:ascii="Arial" w:eastAsia="Times New Roman" w:hAnsi="Arial" w:cs="Arial"/>
                <w:b/>
                <w:bCs/>
                <w:color w:val="0D0D0D" w:themeColor="text1" w:themeTint="F2"/>
                <w:sz w:val="20"/>
                <w:szCs w:val="20"/>
                <w:lang w:eastAsia="es-CO"/>
              </w:rPr>
              <w:t>2</w:t>
            </w:r>
            <w:r w:rsidR="00A673B9">
              <w:rPr>
                <w:rFonts w:ascii="Arial" w:eastAsia="Times New Roman" w:hAnsi="Arial" w:cs="Arial"/>
                <w:b/>
                <w:bCs/>
                <w:color w:val="0D0D0D" w:themeColor="text1" w:themeTint="F2"/>
                <w:sz w:val="20"/>
                <w:szCs w:val="20"/>
                <w:lang w:eastAsia="es-CO"/>
              </w:rPr>
              <w:t>.</w:t>
            </w:r>
            <w:r w:rsidRPr="00537113">
              <w:rPr>
                <w:rFonts w:ascii="Arial" w:eastAsia="Times New Roman" w:hAnsi="Arial" w:cs="Arial"/>
                <w:b/>
                <w:bCs/>
                <w:color w:val="0D0D0D" w:themeColor="text1" w:themeTint="F2"/>
                <w:sz w:val="20"/>
                <w:szCs w:val="20"/>
                <w:lang w:eastAsia="es-CO"/>
              </w:rPr>
              <w:t>187</w:t>
            </w:r>
          </w:p>
        </w:tc>
        <w:tc>
          <w:tcPr>
            <w:tcW w:w="1984" w:type="dxa"/>
            <w:noWrap/>
            <w:vAlign w:val="center"/>
            <w:hideMark/>
          </w:tcPr>
          <w:p w:rsidR="00537113" w:rsidRPr="00537113" w:rsidRDefault="00537113" w:rsidP="004622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D0D0D" w:themeColor="text1" w:themeTint="F2"/>
                <w:sz w:val="20"/>
                <w:szCs w:val="20"/>
                <w:lang w:eastAsia="es-CO"/>
              </w:rPr>
            </w:pPr>
            <w:r w:rsidRPr="00537113">
              <w:rPr>
                <w:rFonts w:ascii="Arial" w:eastAsia="Times New Roman" w:hAnsi="Arial" w:cs="Arial"/>
                <w:b/>
                <w:bCs/>
                <w:color w:val="0D0D0D" w:themeColor="text1" w:themeTint="F2"/>
                <w:sz w:val="20"/>
                <w:szCs w:val="20"/>
                <w:lang w:eastAsia="es-CO"/>
              </w:rPr>
              <w:t>100,00%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3933F7" w:rsidRDefault="003933F7" w:rsidP="00EF1BFD">
      <w:pPr>
        <w:spacing w:after="0" w:line="240" w:lineRule="auto"/>
        <w:rPr>
          <w:rFonts w:ascii="Arial" w:hAnsi="Arial" w:cs="Arial"/>
          <w:sz w:val="24"/>
          <w:szCs w:val="24"/>
        </w:rPr>
      </w:pPr>
    </w:p>
    <w:p w:rsidR="009F3766" w:rsidRPr="00DF7866" w:rsidRDefault="00301266" w:rsidP="00EF1BFD">
      <w:pPr>
        <w:pStyle w:val="Ttulo2"/>
        <w:spacing w:before="0" w:after="0" w:line="240" w:lineRule="auto"/>
        <w:rPr>
          <w:rFonts w:cs="Arial"/>
          <w:szCs w:val="24"/>
        </w:rPr>
      </w:pPr>
      <w:bookmarkStart w:id="11" w:name="_Toc16758367"/>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1"/>
      <w:r w:rsidR="00E80CDE" w:rsidRPr="00DF7866">
        <w:rPr>
          <w:rFonts w:cs="Arial"/>
          <w:szCs w:val="24"/>
        </w:rPr>
        <w:t xml:space="preserve"> </w:t>
      </w:r>
      <w:r w:rsidR="004F7ACE">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w:t>
      </w:r>
      <w:r w:rsidR="00712CDD">
        <w:rPr>
          <w:rFonts w:ascii="Arial" w:hAnsi="Arial" w:cs="Arial"/>
          <w:color w:val="000000" w:themeColor="text1"/>
          <w:sz w:val="24"/>
          <w:szCs w:val="24"/>
        </w:rPr>
        <w:t>100% (2.187)</w:t>
      </w:r>
      <w:r w:rsidRPr="00D40CAB">
        <w:rPr>
          <w:rFonts w:ascii="Arial" w:hAnsi="Arial" w:cs="Arial"/>
          <w:color w:val="000000" w:themeColor="text1"/>
          <w:sz w:val="24"/>
          <w:szCs w:val="24"/>
        </w:rPr>
        <w:t xml:space="preserve"> de PQRSD recibidas en la entidad durante el</w:t>
      </w:r>
      <w:r w:rsidR="00712CDD">
        <w:rPr>
          <w:rFonts w:ascii="Arial" w:hAnsi="Arial" w:cs="Arial"/>
          <w:color w:val="000000" w:themeColor="text1"/>
          <w:sz w:val="24"/>
          <w:szCs w:val="24"/>
        </w:rPr>
        <w:t xml:space="preserve"> primer semestre de 2019</w:t>
      </w:r>
      <w:r w:rsidR="004F7ACE">
        <w:rPr>
          <w:rFonts w:ascii="Arial" w:hAnsi="Arial" w:cs="Arial"/>
          <w:color w:val="000000" w:themeColor="text1"/>
          <w:sz w:val="24"/>
          <w:szCs w:val="24"/>
        </w:rPr>
        <w:t xml:space="preserve">, </w:t>
      </w:r>
      <w:r w:rsidR="00476E4E">
        <w:rPr>
          <w:rFonts w:ascii="Arial" w:hAnsi="Arial" w:cs="Arial"/>
          <w:color w:val="000000" w:themeColor="text1"/>
          <w:sz w:val="24"/>
          <w:szCs w:val="24"/>
        </w:rPr>
        <w:t xml:space="preserve">el </w:t>
      </w:r>
      <w:r w:rsidR="00476E4E" w:rsidRPr="00476E4E">
        <w:rPr>
          <w:rFonts w:ascii="Arial" w:hAnsi="Arial" w:cs="Arial"/>
          <w:color w:val="000000" w:themeColor="text1"/>
          <w:sz w:val="24"/>
          <w:szCs w:val="24"/>
        </w:rPr>
        <w:t>1,46</w:t>
      </w:r>
      <w:r w:rsidR="00476E4E">
        <w:rPr>
          <w:rFonts w:ascii="Arial" w:hAnsi="Arial" w:cs="Arial"/>
          <w:color w:val="000000" w:themeColor="text1"/>
          <w:sz w:val="24"/>
          <w:szCs w:val="24"/>
        </w:rPr>
        <w:t>% (32</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40CAB" w:rsidRDefault="00D40CAB" w:rsidP="00EF1BFD">
      <w:pPr>
        <w:spacing w:after="0" w:line="240" w:lineRule="auto"/>
        <w:jc w:val="both"/>
        <w:rPr>
          <w:rFonts w:ascii="Arial" w:hAnsi="Arial" w:cs="Arial"/>
          <w:color w:val="000000" w:themeColor="text1"/>
        </w:rPr>
      </w:pPr>
    </w:p>
    <w:tbl>
      <w:tblPr>
        <w:tblStyle w:val="GridTable4Accent1"/>
        <w:tblW w:w="9478" w:type="dxa"/>
        <w:tblInd w:w="108" w:type="dxa"/>
        <w:tblLook w:val="04A0" w:firstRow="1" w:lastRow="0" w:firstColumn="1" w:lastColumn="0" w:noHBand="0" w:noVBand="1"/>
      </w:tblPr>
      <w:tblGrid>
        <w:gridCol w:w="5651"/>
        <w:gridCol w:w="1984"/>
        <w:gridCol w:w="1843"/>
      </w:tblGrid>
      <w:tr w:rsidR="00CF4CB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TABLA No. 3 - PQRSD TRASLADO POR NO COMPETENCIA</w:t>
            </w:r>
          </w:p>
        </w:tc>
      </w:tr>
      <w:tr w:rsidR="006A6BF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ENTIDAD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TOTAL</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tcBorders>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Secretaria del Hábitat</w:t>
            </w:r>
          </w:p>
        </w:tc>
        <w:tc>
          <w:tcPr>
            <w:tcW w:w="1984" w:type="dxa"/>
            <w:tcBorders>
              <w:top w:val="single" w:sz="4" w:space="0" w:color="FFFFFF" w:themeColor="background1"/>
            </w:tcBorders>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10</w:t>
            </w:r>
          </w:p>
        </w:tc>
        <w:tc>
          <w:tcPr>
            <w:tcW w:w="1843" w:type="dxa"/>
            <w:tcBorders>
              <w:top w:val="single" w:sz="4" w:space="0" w:color="FFFFFF" w:themeColor="background1"/>
            </w:tcBorders>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31,25%</w:t>
            </w:r>
          </w:p>
        </w:tc>
      </w:tr>
      <w:tr w:rsidR="009A2DD6" w:rsidRPr="00CF4CB9" w:rsidTr="009A2DD6">
        <w:trPr>
          <w:trHeight w:val="283"/>
        </w:trPr>
        <w:tc>
          <w:tcPr>
            <w:cnfStyle w:val="001000000000" w:firstRow="0" w:lastRow="0" w:firstColumn="1" w:lastColumn="0" w:oddVBand="0" w:evenVBand="0" w:oddHBand="0" w:evenHBand="0" w:firstRowFirstColumn="0" w:firstRowLastColumn="0" w:lastRowFirstColumn="0" w:lastRowLastColumn="0"/>
            <w:tcW w:w="5651" w:type="dxa"/>
            <w:shd w:val="clear" w:color="auto" w:fill="auto"/>
            <w:vAlign w:val="center"/>
            <w:hideMark/>
          </w:tcPr>
          <w:p w:rsidR="00CF4CB9" w:rsidRPr="00CF4CB9" w:rsidRDefault="00CF4CB9" w:rsidP="009A2DD6">
            <w:pPr>
              <w:spacing w:after="0" w:line="240" w:lineRule="auto"/>
              <w:rPr>
                <w:rFonts w:ascii="Arial" w:eastAsia="Times New Roman" w:hAnsi="Arial" w:cs="Arial"/>
                <w:b w:val="0"/>
                <w:color w:val="000000"/>
                <w:sz w:val="20"/>
                <w:szCs w:val="20"/>
                <w:lang w:eastAsia="es-CO"/>
              </w:rPr>
            </w:pPr>
            <w:r w:rsidRPr="00CF4CB9">
              <w:rPr>
                <w:rFonts w:ascii="Arial" w:eastAsia="Times New Roman" w:hAnsi="Arial" w:cs="Arial"/>
                <w:b w:val="0"/>
                <w:color w:val="000000"/>
                <w:sz w:val="20"/>
                <w:szCs w:val="20"/>
                <w:lang w:eastAsia="es-CO"/>
              </w:rPr>
              <w:t>Secretaria del hábitat</w:t>
            </w:r>
          </w:p>
        </w:tc>
        <w:tc>
          <w:tcPr>
            <w:tcW w:w="1984" w:type="dxa"/>
            <w:shd w:val="clear" w:color="auto" w:fill="auto"/>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5</w:t>
            </w:r>
          </w:p>
        </w:tc>
        <w:tc>
          <w:tcPr>
            <w:tcW w:w="1843" w:type="dxa"/>
            <w:shd w:val="clear" w:color="auto" w:fill="auto"/>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15,63%</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Catastro</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9,38%</w:t>
            </w:r>
          </w:p>
        </w:tc>
      </w:tr>
      <w:tr w:rsidR="0007350F" w:rsidRPr="00CF4CB9" w:rsidTr="009A2DD6">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lastRenderedPageBreak/>
              <w:t>IDIGER</w:t>
            </w:r>
          </w:p>
        </w:tc>
        <w:tc>
          <w:tcPr>
            <w:tcW w:w="1984"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w:t>
            </w:r>
          </w:p>
        </w:tc>
        <w:tc>
          <w:tcPr>
            <w:tcW w:w="1843"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9,38%</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Secretaria de Seguridad</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9,38%</w:t>
            </w:r>
          </w:p>
        </w:tc>
      </w:tr>
      <w:tr w:rsidR="00CF4CB9" w:rsidRPr="00CF4CB9" w:rsidTr="009A2DD6">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Secretaria de Integración Social</w:t>
            </w:r>
          </w:p>
        </w:tc>
        <w:tc>
          <w:tcPr>
            <w:tcW w:w="1984"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2</w:t>
            </w:r>
          </w:p>
        </w:tc>
        <w:tc>
          <w:tcPr>
            <w:tcW w:w="1843"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6,25%</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Defensoría del espacio publico</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1</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177EFB" w:rsidRPr="00CF4CB9" w:rsidTr="009A2DD6">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IDRD</w:t>
            </w:r>
          </w:p>
        </w:tc>
        <w:tc>
          <w:tcPr>
            <w:tcW w:w="1984"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1</w:t>
            </w:r>
          </w:p>
        </w:tc>
        <w:tc>
          <w:tcPr>
            <w:tcW w:w="1843"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hideMark/>
          </w:tcPr>
          <w:p w:rsidR="00CF4CB9" w:rsidRPr="00CF4CB9" w:rsidRDefault="00CF4CB9" w:rsidP="009A2DD6">
            <w:pPr>
              <w:spacing w:after="0" w:line="240" w:lineRule="auto"/>
              <w:rPr>
                <w:rFonts w:ascii="Arial" w:eastAsia="Times New Roman" w:hAnsi="Arial" w:cs="Arial"/>
                <w:b w:val="0"/>
                <w:color w:val="000000"/>
                <w:sz w:val="20"/>
                <w:szCs w:val="20"/>
                <w:lang w:eastAsia="es-CO"/>
              </w:rPr>
            </w:pPr>
            <w:r w:rsidRPr="00CF4CB9">
              <w:rPr>
                <w:rFonts w:ascii="Arial" w:eastAsia="Times New Roman" w:hAnsi="Arial" w:cs="Arial"/>
                <w:b w:val="0"/>
                <w:color w:val="000000"/>
                <w:sz w:val="20"/>
                <w:szCs w:val="20"/>
                <w:lang w:eastAsia="es-CO"/>
              </w:rPr>
              <w:t>Personería de Bogotá</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1</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07350F" w:rsidRPr="00CF4CB9" w:rsidTr="009A2DD6">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Secretaria General</w:t>
            </w:r>
          </w:p>
        </w:tc>
        <w:tc>
          <w:tcPr>
            <w:tcW w:w="1984"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1</w:t>
            </w:r>
          </w:p>
        </w:tc>
        <w:tc>
          <w:tcPr>
            <w:tcW w:w="1843"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9A2DD6">
            <w:pPr>
              <w:spacing w:after="0" w:line="240" w:lineRule="auto"/>
              <w:rPr>
                <w:rFonts w:eastAsia="Times New Roman" w:cs="Calibri"/>
                <w:b w:val="0"/>
                <w:color w:val="000000"/>
                <w:lang w:eastAsia="es-CO"/>
              </w:rPr>
            </w:pPr>
            <w:r w:rsidRPr="00CF4CB9">
              <w:rPr>
                <w:rFonts w:eastAsia="Times New Roman" w:cs="Calibri"/>
                <w:b w:val="0"/>
                <w:color w:val="000000"/>
                <w:lang w:eastAsia="es-CO"/>
              </w:rPr>
              <w:t>Secretaria Jurídica</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1</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465189" w:rsidRPr="00CF4CB9" w:rsidTr="009A2DD6">
        <w:trPr>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465189">
            <w:pPr>
              <w:spacing w:after="0" w:line="240" w:lineRule="auto"/>
              <w:rPr>
                <w:rFonts w:eastAsia="Times New Roman" w:cs="Calibri"/>
                <w:b w:val="0"/>
                <w:color w:val="000000"/>
                <w:lang w:eastAsia="es-CO"/>
              </w:rPr>
            </w:pPr>
            <w:r w:rsidRPr="00CF4CB9">
              <w:rPr>
                <w:rFonts w:eastAsia="Times New Roman" w:cs="Calibri"/>
                <w:b w:val="0"/>
                <w:color w:val="000000"/>
                <w:lang w:eastAsia="es-CO"/>
              </w:rPr>
              <w:t>Unidad administrativa especial cuerpo oficial de bomberos Bogotá</w:t>
            </w:r>
          </w:p>
        </w:tc>
        <w:tc>
          <w:tcPr>
            <w:tcW w:w="1984"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F4CB9">
              <w:rPr>
                <w:rFonts w:ascii="Arial" w:eastAsia="Times New Roman" w:hAnsi="Arial" w:cs="Arial"/>
                <w:color w:val="000000"/>
                <w:sz w:val="20"/>
                <w:szCs w:val="20"/>
                <w:lang w:eastAsia="es-CO"/>
              </w:rPr>
              <w:t>1</w:t>
            </w:r>
          </w:p>
        </w:tc>
        <w:tc>
          <w:tcPr>
            <w:tcW w:w="1843" w:type="dxa"/>
            <w:noWrap/>
            <w:vAlign w:val="center"/>
            <w:hideMark/>
          </w:tcPr>
          <w:p w:rsidR="00CF4CB9" w:rsidRPr="00CF4CB9" w:rsidRDefault="00CF4CB9" w:rsidP="009A2D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CF4CB9">
              <w:rPr>
                <w:rFonts w:eastAsia="Times New Roman" w:cs="Calibri"/>
                <w:color w:val="000000"/>
                <w:lang w:eastAsia="es-CO"/>
              </w:rPr>
              <w:t>3,13%</w:t>
            </w:r>
          </w:p>
        </w:tc>
      </w:tr>
      <w:tr w:rsidR="00CF4CB9" w:rsidRPr="00CF4CB9" w:rsidTr="009A2D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hideMark/>
          </w:tcPr>
          <w:p w:rsidR="00CF4CB9" w:rsidRPr="00CF4CB9" w:rsidRDefault="00CF4CB9" w:rsidP="0007350F">
            <w:pPr>
              <w:spacing w:after="0" w:line="240" w:lineRule="auto"/>
              <w:rPr>
                <w:rFonts w:eastAsia="Times New Roman" w:cs="Calibri"/>
                <w:color w:val="000000"/>
                <w:lang w:eastAsia="es-CO"/>
              </w:rPr>
            </w:pPr>
            <w:r w:rsidRPr="00CF4CB9">
              <w:rPr>
                <w:rFonts w:eastAsia="Times New Roman" w:cs="Calibri"/>
                <w:color w:val="000000"/>
                <w:lang w:eastAsia="es-CO"/>
              </w:rPr>
              <w:t>TOTAL</w:t>
            </w:r>
          </w:p>
        </w:tc>
        <w:tc>
          <w:tcPr>
            <w:tcW w:w="1984"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CF4CB9">
              <w:rPr>
                <w:rFonts w:eastAsia="Times New Roman" w:cs="Calibri"/>
                <w:b/>
                <w:color w:val="000000"/>
                <w:lang w:eastAsia="es-CO"/>
              </w:rPr>
              <w:t>32</w:t>
            </w:r>
          </w:p>
        </w:tc>
        <w:tc>
          <w:tcPr>
            <w:tcW w:w="1843" w:type="dxa"/>
            <w:noWrap/>
            <w:vAlign w:val="center"/>
            <w:hideMark/>
          </w:tcPr>
          <w:p w:rsidR="00CF4CB9" w:rsidRPr="00CF4CB9" w:rsidRDefault="00CF4CB9" w:rsidP="009A2D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CF4CB9">
              <w:rPr>
                <w:rFonts w:eastAsia="Times New Roman" w:cs="Calibri"/>
                <w:b/>
                <w:color w:val="000000"/>
                <w:lang w:eastAsia="es-CO"/>
              </w:rPr>
              <w:t>100,00%</w:t>
            </w:r>
          </w:p>
        </w:tc>
      </w:tr>
    </w:tbl>
    <w:p w:rsidR="0094195E" w:rsidRPr="007E2536" w:rsidRDefault="0094195E" w:rsidP="0094195E">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CF4CB9" w:rsidRDefault="00CF4CB9" w:rsidP="00EF1BFD">
      <w:pPr>
        <w:spacing w:after="0" w:line="240" w:lineRule="auto"/>
        <w:jc w:val="both"/>
        <w:rPr>
          <w:rFonts w:ascii="Arial" w:hAnsi="Arial" w:cs="Arial"/>
          <w:color w:val="000000" w:themeColor="text1"/>
        </w:rPr>
      </w:pPr>
    </w:p>
    <w:p w:rsidR="009F3766" w:rsidRPr="00DF7866" w:rsidRDefault="00E80CDE" w:rsidP="00EF1BFD">
      <w:pPr>
        <w:pStyle w:val="Ttulo2"/>
        <w:spacing w:before="0" w:after="0" w:line="240" w:lineRule="auto"/>
        <w:rPr>
          <w:rFonts w:cs="Arial"/>
          <w:szCs w:val="24"/>
        </w:rPr>
      </w:pPr>
      <w:bookmarkStart w:id="12" w:name="_Toc16758368"/>
      <w:r w:rsidRPr="00DF7866">
        <w:rPr>
          <w:rFonts w:cs="Arial"/>
          <w:szCs w:val="24"/>
        </w:rPr>
        <w:t>Subtema Veedurías Ciudadanas</w:t>
      </w:r>
      <w:bookmarkEnd w:id="12"/>
    </w:p>
    <w:p w:rsidR="009F3766" w:rsidRDefault="009F3766" w:rsidP="00EF1BFD">
      <w:pPr>
        <w:pStyle w:val="Prrafodelista"/>
        <w:spacing w:after="0" w:line="240" w:lineRule="auto"/>
        <w:jc w:val="both"/>
        <w:rPr>
          <w:rFonts w:ascii="Arial" w:hAnsi="Arial" w:cs="Arial"/>
          <w:color w:val="000000" w:themeColor="text1"/>
          <w:sz w:val="24"/>
          <w:szCs w:val="24"/>
        </w:rPr>
      </w:pPr>
    </w:p>
    <w:p w:rsidR="00990D95" w:rsidRDefault="005F0B0C" w:rsidP="00990D9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el primer semestre de 2019 </w:t>
      </w:r>
      <w:r w:rsidR="00990D95" w:rsidRPr="004E4D52">
        <w:rPr>
          <w:rFonts w:ascii="Arial" w:hAnsi="Arial" w:cs="Arial"/>
          <w:color w:val="000000" w:themeColor="text1"/>
          <w:sz w:val="24"/>
          <w:szCs w:val="24"/>
        </w:rPr>
        <w:t xml:space="preserve">existieron </w:t>
      </w:r>
      <w:r w:rsidR="00916132">
        <w:rPr>
          <w:rFonts w:ascii="Arial" w:hAnsi="Arial" w:cs="Arial"/>
          <w:color w:val="000000" w:themeColor="text1"/>
          <w:sz w:val="24"/>
          <w:szCs w:val="24"/>
        </w:rPr>
        <w:t xml:space="preserve">tres </w:t>
      </w:r>
      <w:r w:rsidR="00990D95">
        <w:rPr>
          <w:rFonts w:ascii="Arial" w:hAnsi="Arial" w:cs="Arial"/>
          <w:color w:val="000000" w:themeColor="text1"/>
          <w:sz w:val="24"/>
          <w:szCs w:val="24"/>
        </w:rPr>
        <w:t>(</w:t>
      </w:r>
      <w:r w:rsidR="00916132">
        <w:rPr>
          <w:rFonts w:ascii="Arial" w:hAnsi="Arial" w:cs="Arial"/>
          <w:color w:val="000000" w:themeColor="text1"/>
          <w:sz w:val="24"/>
          <w:szCs w:val="24"/>
        </w:rPr>
        <w:t>3</w:t>
      </w:r>
      <w:r w:rsidR="00990D95">
        <w:rPr>
          <w:rFonts w:ascii="Arial" w:hAnsi="Arial" w:cs="Arial"/>
          <w:color w:val="000000" w:themeColor="text1"/>
          <w:sz w:val="24"/>
          <w:szCs w:val="24"/>
        </w:rPr>
        <w:t>)</w:t>
      </w:r>
      <w:r w:rsidR="00990D95" w:rsidRPr="004E4D52">
        <w:rPr>
          <w:rFonts w:ascii="Arial" w:hAnsi="Arial" w:cs="Arial"/>
          <w:color w:val="000000" w:themeColor="text1"/>
          <w:sz w:val="24"/>
          <w:szCs w:val="24"/>
        </w:rPr>
        <w:t xml:space="preserve"> petici</w:t>
      </w:r>
      <w:r w:rsidR="00916132">
        <w:rPr>
          <w:rFonts w:ascii="Arial" w:hAnsi="Arial" w:cs="Arial"/>
          <w:color w:val="000000" w:themeColor="text1"/>
          <w:sz w:val="24"/>
          <w:szCs w:val="24"/>
        </w:rPr>
        <w:t xml:space="preserve">ones </w:t>
      </w:r>
      <w:r w:rsidR="00990D95" w:rsidRPr="004E4D52">
        <w:rPr>
          <w:rFonts w:ascii="Arial" w:hAnsi="Arial" w:cs="Arial"/>
          <w:color w:val="000000" w:themeColor="text1"/>
          <w:sz w:val="24"/>
          <w:szCs w:val="24"/>
        </w:rPr>
        <w:t xml:space="preserve">con subtema de Veedurías Ciudadanas para la Caja de la Vivienda Popular. </w:t>
      </w:r>
    </w:p>
    <w:p w:rsidR="00F124C8" w:rsidRDefault="00F124C8" w:rsidP="00990D95">
      <w:pPr>
        <w:spacing w:after="0" w:line="240" w:lineRule="auto"/>
        <w:jc w:val="both"/>
        <w:rPr>
          <w:rFonts w:ascii="Arial" w:hAnsi="Arial" w:cs="Arial"/>
          <w:color w:val="000000" w:themeColor="text1"/>
          <w:sz w:val="24"/>
          <w:szCs w:val="24"/>
        </w:rPr>
      </w:pPr>
    </w:p>
    <w:tbl>
      <w:tblPr>
        <w:tblW w:w="9430" w:type="dxa"/>
        <w:tblInd w:w="70" w:type="dxa"/>
        <w:tblCellMar>
          <w:left w:w="70" w:type="dxa"/>
          <w:right w:w="70" w:type="dxa"/>
        </w:tblCellMar>
        <w:tblLook w:val="04A0" w:firstRow="1" w:lastRow="0" w:firstColumn="1" w:lastColumn="0" w:noHBand="0" w:noVBand="1"/>
      </w:tblPr>
      <w:tblGrid>
        <w:gridCol w:w="8222"/>
        <w:gridCol w:w="1208"/>
      </w:tblGrid>
      <w:tr w:rsidR="009E0921" w:rsidRPr="009E0921" w:rsidTr="007E5E64">
        <w:trPr>
          <w:trHeight w:val="397"/>
          <w:tblHeader/>
        </w:trPr>
        <w:tc>
          <w:tcPr>
            <w:tcW w:w="9430" w:type="dxa"/>
            <w:gridSpan w:val="2"/>
            <w:tcBorders>
              <w:top w:val="single" w:sz="8" w:space="0" w:color="DBE5F1"/>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TABLA No. 4 - VEEDURÍAS CIUDADANAS</w:t>
            </w:r>
          </w:p>
        </w:tc>
      </w:tr>
      <w:tr w:rsidR="009E0921" w:rsidRPr="009E0921" w:rsidTr="009A2DD6">
        <w:trPr>
          <w:trHeight w:val="397"/>
          <w:tblHeader/>
        </w:trPr>
        <w:tc>
          <w:tcPr>
            <w:tcW w:w="8222" w:type="dxa"/>
            <w:tcBorders>
              <w:top w:val="nil"/>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 Petición</w:t>
            </w:r>
          </w:p>
        </w:tc>
        <w:tc>
          <w:tcPr>
            <w:tcW w:w="1208" w:type="dxa"/>
            <w:tcBorders>
              <w:top w:val="nil"/>
              <w:left w:val="nil"/>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Cuenta de Numero petición</w:t>
            </w:r>
          </w:p>
        </w:tc>
      </w:tr>
      <w:tr w:rsidR="009E0921" w:rsidRPr="009E0921" w:rsidTr="009A2DD6">
        <w:trPr>
          <w:trHeight w:val="315"/>
        </w:trPr>
        <w:tc>
          <w:tcPr>
            <w:tcW w:w="8222"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89012019</w:t>
            </w:r>
          </w:p>
        </w:tc>
        <w:tc>
          <w:tcPr>
            <w:tcW w:w="1208"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1</w:t>
            </w:r>
          </w:p>
        </w:tc>
      </w:tr>
      <w:tr w:rsidR="009E0921" w:rsidRPr="009E0921" w:rsidTr="009A2DD6">
        <w:trPr>
          <w:trHeight w:val="675"/>
        </w:trPr>
        <w:tc>
          <w:tcPr>
            <w:tcW w:w="8222" w:type="dxa"/>
            <w:tcBorders>
              <w:top w:val="nil"/>
              <w:left w:val="single" w:sz="8" w:space="0" w:color="95B3D7"/>
              <w:bottom w:val="single" w:sz="8" w:space="0" w:color="95B3D7"/>
              <w:right w:val="single" w:sz="8" w:space="0" w:color="95B3D7"/>
            </w:tcBorders>
            <w:shd w:val="clear" w:color="000000" w:fill="DBE5F1"/>
            <w:vAlign w:val="center"/>
            <w:hideMark/>
          </w:tcPr>
          <w:p w:rsidR="009E0921" w:rsidRPr="009E0921" w:rsidRDefault="009E0921" w:rsidP="009E0921">
            <w:pPr>
              <w:spacing w:after="0" w:line="240" w:lineRule="auto"/>
              <w:jc w:val="both"/>
              <w:rPr>
                <w:rFonts w:ascii="Arial" w:eastAsia="Times New Roman" w:hAnsi="Arial" w:cs="Arial"/>
                <w:color w:val="000000"/>
                <w:sz w:val="20"/>
                <w:szCs w:val="20"/>
                <w:lang w:eastAsia="es-CO"/>
              </w:rPr>
            </w:pPr>
            <w:r w:rsidRPr="009E0921">
              <w:rPr>
                <w:rFonts w:ascii="Arial" w:eastAsia="Times New Roman" w:hAnsi="Arial" w:cs="Arial"/>
                <w:bCs/>
                <w:color w:val="000000" w:themeColor="text1"/>
                <w:sz w:val="20"/>
                <w:szCs w:val="20"/>
                <w:lang w:eastAsia="es-CO"/>
              </w:rPr>
              <w:t>Solicitud de veeduría distrital con radicado de reasentamientos 2018ee20908 información desembolso 30 millones de la señora Cecilia calderón del predio ubicado kr 1 h 38 f 16 sur y el avance con respecto al trámite radicado en la notaria 51 para escritura pública del inmueble.</w:t>
            </w:r>
          </w:p>
        </w:tc>
        <w:tc>
          <w:tcPr>
            <w:tcW w:w="1208" w:type="dxa"/>
            <w:tcBorders>
              <w:top w:val="nil"/>
              <w:left w:val="nil"/>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center"/>
              <w:rPr>
                <w:rFonts w:ascii="Arial" w:eastAsia="Times New Roman" w:hAnsi="Arial" w:cs="Arial"/>
                <w:color w:val="000000"/>
                <w:sz w:val="20"/>
                <w:szCs w:val="20"/>
                <w:lang w:eastAsia="es-CO"/>
              </w:rPr>
            </w:pPr>
            <w:r w:rsidRPr="009E0921">
              <w:rPr>
                <w:rFonts w:ascii="Arial" w:eastAsia="Times New Roman" w:hAnsi="Arial" w:cs="Arial"/>
                <w:color w:val="000000" w:themeColor="text1"/>
                <w:sz w:val="20"/>
                <w:szCs w:val="20"/>
                <w:lang w:eastAsia="es-CO"/>
              </w:rPr>
              <w:t>1</w:t>
            </w:r>
          </w:p>
        </w:tc>
      </w:tr>
      <w:tr w:rsidR="009E0921" w:rsidRPr="009E0921" w:rsidTr="009A2DD6">
        <w:trPr>
          <w:trHeight w:val="315"/>
        </w:trPr>
        <w:tc>
          <w:tcPr>
            <w:tcW w:w="8222"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89702019</w:t>
            </w:r>
          </w:p>
        </w:tc>
        <w:tc>
          <w:tcPr>
            <w:tcW w:w="1208"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1</w:t>
            </w:r>
          </w:p>
        </w:tc>
      </w:tr>
      <w:tr w:rsidR="009E0921" w:rsidRPr="009E0921" w:rsidTr="009A2DD6">
        <w:trPr>
          <w:trHeight w:val="736"/>
        </w:trPr>
        <w:tc>
          <w:tcPr>
            <w:tcW w:w="8222" w:type="dxa"/>
            <w:tcBorders>
              <w:top w:val="nil"/>
              <w:left w:val="single" w:sz="8" w:space="0" w:color="95B3D7"/>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both"/>
              <w:rPr>
                <w:rFonts w:ascii="Arial" w:eastAsia="Times New Roman" w:hAnsi="Arial" w:cs="Arial"/>
                <w:color w:val="000000"/>
                <w:sz w:val="20"/>
                <w:szCs w:val="20"/>
                <w:lang w:eastAsia="es-CO"/>
              </w:rPr>
            </w:pPr>
            <w:r w:rsidRPr="009E0921">
              <w:rPr>
                <w:rFonts w:ascii="Arial" w:eastAsia="Times New Roman" w:hAnsi="Arial" w:cs="Arial"/>
                <w:bCs/>
                <w:color w:val="000000" w:themeColor="text1"/>
                <w:sz w:val="20"/>
                <w:szCs w:val="20"/>
                <w:lang w:eastAsia="es-CO"/>
              </w:rPr>
              <w:t>Solicita comité de veeduría ciudadana línea de alta tensión la paz –Danubio azul- reunión con la oficina de titulación de predios información sobre los predios ubicados dentro de la red de servidumbre-proyecto chiguaza</w:t>
            </w:r>
            <w:r w:rsidR="005621A8" w:rsidRPr="009A2DD6">
              <w:rPr>
                <w:rFonts w:ascii="Arial" w:eastAsia="Times New Roman" w:hAnsi="Arial" w:cs="Arial"/>
                <w:bCs/>
                <w:color w:val="000000" w:themeColor="text1"/>
                <w:sz w:val="20"/>
                <w:szCs w:val="20"/>
                <w:lang w:eastAsia="es-CO"/>
              </w:rPr>
              <w:t>.</w:t>
            </w:r>
          </w:p>
        </w:tc>
        <w:tc>
          <w:tcPr>
            <w:tcW w:w="1208" w:type="dxa"/>
            <w:tcBorders>
              <w:top w:val="nil"/>
              <w:left w:val="nil"/>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center"/>
              <w:rPr>
                <w:rFonts w:ascii="Arial" w:eastAsia="Times New Roman" w:hAnsi="Arial" w:cs="Arial"/>
                <w:color w:val="000000"/>
                <w:sz w:val="20"/>
                <w:szCs w:val="20"/>
                <w:lang w:eastAsia="es-CO"/>
              </w:rPr>
            </w:pPr>
            <w:r w:rsidRPr="009E0921">
              <w:rPr>
                <w:rFonts w:ascii="Arial" w:eastAsia="Times New Roman" w:hAnsi="Arial" w:cs="Arial"/>
                <w:color w:val="000000" w:themeColor="text1"/>
                <w:sz w:val="20"/>
                <w:szCs w:val="20"/>
                <w:lang w:eastAsia="es-CO"/>
              </w:rPr>
              <w:t>1</w:t>
            </w:r>
          </w:p>
        </w:tc>
      </w:tr>
      <w:tr w:rsidR="009E0921" w:rsidRPr="009E0921" w:rsidTr="009A2DD6">
        <w:trPr>
          <w:trHeight w:val="330"/>
        </w:trPr>
        <w:tc>
          <w:tcPr>
            <w:tcW w:w="8222"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978092019</w:t>
            </w:r>
          </w:p>
        </w:tc>
        <w:tc>
          <w:tcPr>
            <w:tcW w:w="1208"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1</w:t>
            </w:r>
          </w:p>
        </w:tc>
      </w:tr>
      <w:tr w:rsidR="009E0921" w:rsidRPr="009E0921" w:rsidTr="009A2DD6">
        <w:trPr>
          <w:trHeight w:val="525"/>
        </w:trPr>
        <w:tc>
          <w:tcPr>
            <w:tcW w:w="8222" w:type="dxa"/>
            <w:tcBorders>
              <w:top w:val="nil"/>
              <w:left w:val="single" w:sz="8" w:space="0" w:color="95B3D7"/>
              <w:bottom w:val="single" w:sz="8" w:space="0" w:color="95B3D7"/>
              <w:right w:val="single" w:sz="8" w:space="0" w:color="95B3D7"/>
            </w:tcBorders>
            <w:shd w:val="clear" w:color="000000" w:fill="DBE5F1"/>
            <w:vAlign w:val="center"/>
            <w:hideMark/>
          </w:tcPr>
          <w:p w:rsidR="009E0921" w:rsidRPr="009E0921" w:rsidRDefault="009E0921" w:rsidP="00A3387A">
            <w:pPr>
              <w:spacing w:after="0" w:line="240" w:lineRule="auto"/>
              <w:rPr>
                <w:rFonts w:ascii="Arial" w:eastAsia="Times New Roman" w:hAnsi="Arial" w:cs="Arial"/>
                <w:color w:val="000000"/>
                <w:sz w:val="20"/>
                <w:szCs w:val="20"/>
                <w:lang w:eastAsia="es-CO"/>
              </w:rPr>
            </w:pPr>
            <w:r w:rsidRPr="009E0921">
              <w:rPr>
                <w:rFonts w:ascii="Arial" w:eastAsia="Times New Roman" w:hAnsi="Arial" w:cs="Arial"/>
                <w:color w:val="000000"/>
                <w:sz w:val="20"/>
                <w:szCs w:val="20"/>
                <w:lang w:eastAsia="es-CO"/>
              </w:rPr>
              <w:t>Traslado derecho de petición radicado SDHT 1-2019-12451, luis Felipe gonzalez veedor ciudadano valla vial solicita información con respecto a situación ronda río Bogotá, predios afectados y que ofertas se han hecho a la comunidad.</w:t>
            </w:r>
          </w:p>
        </w:tc>
        <w:tc>
          <w:tcPr>
            <w:tcW w:w="1208" w:type="dxa"/>
            <w:tcBorders>
              <w:top w:val="nil"/>
              <w:left w:val="nil"/>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center"/>
              <w:rPr>
                <w:rFonts w:ascii="Arial" w:eastAsia="Times New Roman" w:hAnsi="Arial" w:cs="Arial"/>
                <w:color w:val="000000"/>
                <w:sz w:val="20"/>
                <w:szCs w:val="20"/>
                <w:lang w:eastAsia="es-CO"/>
              </w:rPr>
            </w:pPr>
            <w:r w:rsidRPr="009E0921">
              <w:rPr>
                <w:rFonts w:ascii="Arial" w:eastAsia="Times New Roman" w:hAnsi="Arial" w:cs="Arial"/>
                <w:color w:val="000000" w:themeColor="text1"/>
                <w:sz w:val="20"/>
                <w:szCs w:val="20"/>
                <w:lang w:eastAsia="es-CO"/>
              </w:rPr>
              <w:t>1</w:t>
            </w:r>
          </w:p>
        </w:tc>
      </w:tr>
      <w:tr w:rsidR="009E0921" w:rsidRPr="009E0921" w:rsidTr="009A2DD6">
        <w:trPr>
          <w:trHeight w:val="315"/>
        </w:trPr>
        <w:tc>
          <w:tcPr>
            <w:tcW w:w="8222"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Total</w:t>
            </w:r>
          </w:p>
        </w:tc>
        <w:tc>
          <w:tcPr>
            <w:tcW w:w="1208"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3</w:t>
            </w:r>
          </w:p>
        </w:tc>
      </w:tr>
    </w:tbl>
    <w:p w:rsidR="00A3387A" w:rsidRPr="007E2536" w:rsidRDefault="00A3387A" w:rsidP="00A3387A">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E308EB" w:rsidRDefault="0046461C" w:rsidP="00EF1BFD">
      <w:pPr>
        <w:pStyle w:val="Ttulo2"/>
        <w:spacing w:before="0" w:after="0" w:line="240" w:lineRule="auto"/>
        <w:rPr>
          <w:rFonts w:cs="Arial"/>
          <w:noProof/>
          <w:szCs w:val="24"/>
        </w:rPr>
      </w:pPr>
      <w:bookmarkStart w:id="13" w:name="_Toc16758369"/>
      <w:r w:rsidRPr="00DF7866">
        <w:rPr>
          <w:rFonts w:cs="Arial"/>
          <w:noProof/>
          <w:szCs w:val="24"/>
        </w:rPr>
        <w:lastRenderedPageBreak/>
        <w:t xml:space="preserve">Participación </w:t>
      </w:r>
      <w:r w:rsidR="00A107A4">
        <w:rPr>
          <w:rFonts w:cs="Arial"/>
          <w:noProof/>
          <w:szCs w:val="24"/>
        </w:rPr>
        <w:t>p</w:t>
      </w:r>
      <w:r w:rsidRPr="00DF7866">
        <w:rPr>
          <w:rFonts w:cs="Arial"/>
          <w:noProof/>
          <w:szCs w:val="24"/>
        </w:rPr>
        <w:t>or Localidad</w:t>
      </w:r>
      <w:bookmarkEnd w:id="13"/>
    </w:p>
    <w:p w:rsidR="00E308EB" w:rsidRDefault="00E308EB" w:rsidP="00EF1BFD">
      <w:pPr>
        <w:pStyle w:val="Prrafodelista"/>
        <w:spacing w:after="0" w:line="240" w:lineRule="auto"/>
        <w:ind w:left="0"/>
        <w:jc w:val="both"/>
        <w:rPr>
          <w:rFonts w:ascii="Arial" w:hAnsi="Arial" w:cs="Arial"/>
          <w:sz w:val="24"/>
          <w:szCs w:val="24"/>
        </w:rPr>
      </w:pPr>
    </w:p>
    <w:p w:rsidR="002A5367" w:rsidRPr="006B611B" w:rsidRDefault="002A5367" w:rsidP="00EF1BFD">
      <w:pPr>
        <w:pStyle w:val="Prrafodelista"/>
        <w:spacing w:after="0" w:line="240" w:lineRule="auto"/>
        <w:ind w:left="0"/>
        <w:jc w:val="both"/>
        <w:rPr>
          <w:rFonts w:ascii="Arial" w:hAnsi="Arial" w:cs="Arial"/>
          <w:sz w:val="24"/>
          <w:szCs w:val="24"/>
        </w:rPr>
      </w:pPr>
      <w:r w:rsidRPr="006B611B">
        <w:rPr>
          <w:rFonts w:ascii="Arial" w:hAnsi="Arial" w:cs="Arial"/>
          <w:sz w:val="24"/>
          <w:szCs w:val="24"/>
        </w:rPr>
        <w:t xml:space="preserve">Como se puede observar en la </w:t>
      </w:r>
      <w:r>
        <w:rPr>
          <w:rFonts w:ascii="Arial" w:hAnsi="Arial" w:cs="Arial"/>
          <w:sz w:val="24"/>
          <w:szCs w:val="24"/>
        </w:rPr>
        <w:t xml:space="preserve">siguiente </w:t>
      </w:r>
      <w:r w:rsidRPr="006B611B">
        <w:rPr>
          <w:rFonts w:ascii="Arial" w:hAnsi="Arial" w:cs="Arial"/>
          <w:sz w:val="24"/>
          <w:szCs w:val="24"/>
        </w:rPr>
        <w:t xml:space="preserve">grafica (No. 5 PQRSD por localidad), durante el </w:t>
      </w:r>
      <w:r w:rsidR="001D6E73">
        <w:rPr>
          <w:rFonts w:ascii="Arial" w:hAnsi="Arial" w:cs="Arial"/>
          <w:sz w:val="24"/>
          <w:szCs w:val="24"/>
        </w:rPr>
        <w:t>primer semestre de 2019</w:t>
      </w:r>
      <w:r w:rsidRPr="006B611B">
        <w:rPr>
          <w:rFonts w:ascii="Arial" w:hAnsi="Arial" w:cs="Arial"/>
          <w:sz w:val="24"/>
          <w:szCs w:val="24"/>
        </w:rPr>
        <w:t xml:space="preserve">, de acuerdo con la información que los ciudadanos facilitan al momento de interponer las </w:t>
      </w:r>
      <w:r w:rsidR="001D6E73">
        <w:rPr>
          <w:rFonts w:ascii="Arial" w:hAnsi="Arial" w:cs="Arial"/>
          <w:sz w:val="24"/>
          <w:szCs w:val="24"/>
        </w:rPr>
        <w:t xml:space="preserve">2.187 </w:t>
      </w:r>
      <w:r w:rsidRPr="006B611B">
        <w:rPr>
          <w:rFonts w:ascii="Arial" w:hAnsi="Arial" w:cs="Arial"/>
          <w:sz w:val="24"/>
          <w:szCs w:val="24"/>
        </w:rPr>
        <w:t xml:space="preserve">PQRSD, demuestran que el </w:t>
      </w:r>
      <w:r w:rsidR="001D6E73">
        <w:rPr>
          <w:rFonts w:ascii="Arial" w:hAnsi="Arial" w:cs="Arial"/>
          <w:sz w:val="24"/>
          <w:szCs w:val="24"/>
        </w:rPr>
        <w:t>8,23</w:t>
      </w:r>
      <w:r w:rsidRPr="006B611B">
        <w:rPr>
          <w:rFonts w:ascii="Arial" w:hAnsi="Arial" w:cs="Arial"/>
          <w:sz w:val="24"/>
          <w:szCs w:val="24"/>
        </w:rPr>
        <w:t>% (</w:t>
      </w:r>
      <w:r w:rsidR="00987453">
        <w:rPr>
          <w:rFonts w:ascii="Arial" w:hAnsi="Arial" w:cs="Arial"/>
          <w:sz w:val="24"/>
          <w:szCs w:val="24"/>
        </w:rPr>
        <w:t>1</w:t>
      </w:r>
      <w:r w:rsidR="001D6E73">
        <w:rPr>
          <w:rFonts w:ascii="Arial" w:hAnsi="Arial" w:cs="Arial"/>
          <w:sz w:val="24"/>
          <w:szCs w:val="24"/>
        </w:rPr>
        <w:t>80</w:t>
      </w:r>
      <w:r w:rsidRPr="006B611B">
        <w:rPr>
          <w:rFonts w:ascii="Arial" w:hAnsi="Arial" w:cs="Arial"/>
          <w:sz w:val="24"/>
          <w:szCs w:val="24"/>
        </w:rPr>
        <w:t xml:space="preserve">) provienen de la localidad de </w:t>
      </w:r>
      <w:r w:rsidR="001D6E73">
        <w:rPr>
          <w:rFonts w:ascii="Arial" w:hAnsi="Arial" w:cs="Arial"/>
          <w:sz w:val="24"/>
          <w:szCs w:val="24"/>
        </w:rPr>
        <w:t xml:space="preserve">Ciudad Bolivar </w:t>
      </w:r>
      <w:r w:rsidRPr="006B611B">
        <w:rPr>
          <w:rFonts w:ascii="Arial" w:hAnsi="Arial" w:cs="Arial"/>
          <w:sz w:val="24"/>
          <w:szCs w:val="24"/>
        </w:rPr>
        <w:t xml:space="preserve">y el </w:t>
      </w:r>
      <w:r w:rsidR="00F86CA1">
        <w:rPr>
          <w:rFonts w:ascii="Arial" w:hAnsi="Arial" w:cs="Arial"/>
          <w:sz w:val="24"/>
          <w:szCs w:val="24"/>
        </w:rPr>
        <w:t>3,02</w:t>
      </w:r>
      <w:r w:rsidRPr="006B611B">
        <w:rPr>
          <w:rFonts w:ascii="Arial" w:hAnsi="Arial" w:cs="Arial"/>
          <w:sz w:val="24"/>
          <w:szCs w:val="24"/>
        </w:rPr>
        <w:t>% (</w:t>
      </w:r>
      <w:r w:rsidR="00F86CA1">
        <w:rPr>
          <w:rFonts w:ascii="Arial" w:hAnsi="Arial" w:cs="Arial"/>
          <w:sz w:val="24"/>
          <w:szCs w:val="24"/>
        </w:rPr>
        <w:t>66</w:t>
      </w:r>
      <w:r w:rsidRPr="006B611B">
        <w:rPr>
          <w:rFonts w:ascii="Arial" w:hAnsi="Arial" w:cs="Arial"/>
          <w:sz w:val="24"/>
          <w:szCs w:val="24"/>
        </w:rPr>
        <w:t>) vienen de la localidad de</w:t>
      </w:r>
      <w:r w:rsidR="00F86CA1">
        <w:rPr>
          <w:rFonts w:ascii="Arial" w:hAnsi="Arial" w:cs="Arial"/>
          <w:sz w:val="24"/>
          <w:szCs w:val="24"/>
        </w:rPr>
        <w:t xml:space="preserve"> Kennedy, siendo las localidades más representativas. </w:t>
      </w:r>
    </w:p>
    <w:p w:rsidR="00A4028B" w:rsidRDefault="00A4028B" w:rsidP="00EF1BFD">
      <w:pPr>
        <w:pStyle w:val="Prrafodelista"/>
        <w:spacing w:after="0" w:line="240" w:lineRule="auto"/>
        <w:ind w:left="0"/>
        <w:jc w:val="both"/>
        <w:rPr>
          <w:rFonts w:ascii="Arial" w:hAnsi="Arial" w:cs="Arial"/>
          <w:sz w:val="24"/>
          <w:szCs w:val="24"/>
        </w:rPr>
      </w:pPr>
    </w:p>
    <w:p w:rsidR="001D6E73" w:rsidRPr="00DF7866" w:rsidRDefault="001D6E73" w:rsidP="00EF1BFD">
      <w:pPr>
        <w:pStyle w:val="Prrafodelista"/>
        <w:spacing w:after="0" w:line="240" w:lineRule="auto"/>
        <w:ind w:left="0"/>
        <w:jc w:val="both"/>
        <w:rPr>
          <w:rFonts w:ascii="Arial" w:hAnsi="Arial" w:cs="Arial"/>
          <w:sz w:val="24"/>
          <w:szCs w:val="24"/>
        </w:rPr>
      </w:pPr>
      <w:r>
        <w:rPr>
          <w:noProof/>
          <w:lang w:eastAsia="es-CO"/>
        </w:rPr>
        <w:drawing>
          <wp:inline distT="0" distB="0" distL="0" distR="0" wp14:anchorId="7BAD52DB" wp14:editId="4350A8CC">
            <wp:extent cx="5972175" cy="4229100"/>
            <wp:effectExtent l="0" t="0" r="9525" b="0"/>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DFBA9C7-E2DF-41D7-AC50-CB2F37BF9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F15F7" w:rsidRDefault="002F15F7" w:rsidP="00EF1BFD">
      <w:pPr>
        <w:spacing w:after="0" w:line="240" w:lineRule="auto"/>
        <w:jc w:val="both"/>
        <w:rPr>
          <w:rFonts w:ascii="Arial" w:hAnsi="Arial" w:cs="Arial"/>
          <w:color w:val="000000" w:themeColor="text1"/>
          <w:sz w:val="18"/>
          <w:szCs w:val="18"/>
        </w:rPr>
      </w:pPr>
    </w:p>
    <w:p w:rsidR="00980325" w:rsidRDefault="00980325" w:rsidP="00EF1BFD">
      <w:pPr>
        <w:spacing w:after="0" w:line="240" w:lineRule="auto"/>
        <w:jc w:val="both"/>
        <w:rPr>
          <w:rFonts w:ascii="Arial" w:hAnsi="Arial" w:cs="Arial"/>
          <w:color w:val="000000" w:themeColor="text1"/>
          <w:sz w:val="18"/>
          <w:szCs w:val="18"/>
        </w:rPr>
      </w:pPr>
    </w:p>
    <w:p w:rsidR="007C5833" w:rsidRDefault="00EF710E" w:rsidP="00EF1BFD">
      <w:pPr>
        <w:pStyle w:val="Ttulo2"/>
        <w:spacing w:before="0" w:after="0" w:line="240" w:lineRule="auto"/>
        <w:rPr>
          <w:rFonts w:cs="Arial"/>
          <w:noProof/>
          <w:szCs w:val="24"/>
        </w:rPr>
      </w:pPr>
      <w:bookmarkStart w:id="14" w:name="_Toc16758370"/>
      <w:r w:rsidRPr="00DF7866">
        <w:rPr>
          <w:rFonts w:cs="Arial"/>
          <w:noProof/>
          <w:szCs w:val="24"/>
        </w:rPr>
        <w:t xml:space="preserve">Participación </w:t>
      </w:r>
      <w:r>
        <w:rPr>
          <w:rFonts w:cs="Arial"/>
          <w:noProof/>
          <w:szCs w:val="24"/>
        </w:rPr>
        <w:t>p</w:t>
      </w:r>
      <w:r w:rsidRPr="00DF7866">
        <w:rPr>
          <w:rFonts w:cs="Arial"/>
          <w:noProof/>
          <w:szCs w:val="24"/>
        </w:rPr>
        <w:t>or Estrato Socioeconomico</w:t>
      </w:r>
      <w:bookmarkEnd w:id="14"/>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6F1C7D">
        <w:rPr>
          <w:rFonts w:ascii="Arial" w:hAnsi="Arial" w:cs="Arial"/>
          <w:noProof/>
          <w:sz w:val="24"/>
          <w:szCs w:val="24"/>
          <w:lang w:val="es-ES" w:eastAsia="es-ES"/>
        </w:rPr>
        <w:t>2.187</w:t>
      </w:r>
      <w:r w:rsidRPr="00563750">
        <w:rPr>
          <w:rFonts w:ascii="Arial" w:hAnsi="Arial" w:cs="Arial"/>
          <w:noProof/>
          <w:sz w:val="24"/>
          <w:szCs w:val="24"/>
          <w:lang w:val="es-ES" w:eastAsia="es-ES"/>
        </w:rPr>
        <w:t xml:space="preserve"> PQRSD interpuestas en el</w:t>
      </w:r>
      <w:r w:rsidR="006F1C7D">
        <w:rPr>
          <w:rFonts w:ascii="Arial" w:hAnsi="Arial" w:cs="Arial"/>
          <w:noProof/>
          <w:sz w:val="24"/>
          <w:szCs w:val="24"/>
          <w:lang w:val="es-ES" w:eastAsia="es-ES"/>
        </w:rPr>
        <w:t xml:space="preserve"> primer semestre de 2019</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con </w:t>
      </w:r>
      <w:r>
        <w:rPr>
          <w:rFonts w:ascii="Arial" w:hAnsi="Arial" w:cs="Arial"/>
          <w:noProof/>
          <w:sz w:val="24"/>
          <w:szCs w:val="24"/>
          <w:lang w:val="es-ES" w:eastAsia="es-ES"/>
        </w:rPr>
        <w:t xml:space="preserve">el </w:t>
      </w:r>
      <w:r w:rsidRPr="00563750">
        <w:rPr>
          <w:rFonts w:ascii="Arial" w:hAnsi="Arial" w:cs="Arial"/>
          <w:noProof/>
          <w:sz w:val="24"/>
          <w:szCs w:val="24"/>
          <w:lang w:val="es-ES" w:eastAsia="es-ES"/>
        </w:rPr>
        <w:t xml:space="preserve">1 </w:t>
      </w:r>
      <w:r w:rsidR="006F1C7D">
        <w:rPr>
          <w:rFonts w:ascii="Arial" w:hAnsi="Arial" w:cs="Arial"/>
          <w:noProof/>
          <w:sz w:val="24"/>
          <w:szCs w:val="24"/>
          <w:lang w:val="es-ES" w:eastAsia="es-ES"/>
        </w:rPr>
        <w:t xml:space="preserve">con el 20,26% (443) </w:t>
      </w:r>
      <w:r w:rsidRPr="00563750">
        <w:rPr>
          <w:rFonts w:ascii="Arial" w:hAnsi="Arial" w:cs="Arial"/>
          <w:noProof/>
          <w:sz w:val="24"/>
          <w:szCs w:val="24"/>
          <w:lang w:val="es-ES" w:eastAsia="es-ES"/>
        </w:rPr>
        <w:t xml:space="preserve">y </w:t>
      </w:r>
      <w:r w:rsidR="006F1C7D">
        <w:rPr>
          <w:rFonts w:ascii="Arial" w:hAnsi="Arial" w:cs="Arial"/>
          <w:noProof/>
          <w:sz w:val="24"/>
          <w:szCs w:val="24"/>
          <w:lang w:val="es-ES" w:eastAsia="es-ES"/>
        </w:rPr>
        <w:t xml:space="preserve">el </w:t>
      </w:r>
      <w:r w:rsidRPr="00563750">
        <w:rPr>
          <w:rFonts w:ascii="Arial" w:hAnsi="Arial" w:cs="Arial"/>
          <w:noProof/>
          <w:sz w:val="24"/>
          <w:szCs w:val="24"/>
          <w:lang w:val="es-ES" w:eastAsia="es-ES"/>
        </w:rPr>
        <w:t>2</w:t>
      </w:r>
      <w:r>
        <w:rPr>
          <w:rFonts w:ascii="Arial" w:hAnsi="Arial" w:cs="Arial"/>
          <w:noProof/>
          <w:sz w:val="24"/>
          <w:szCs w:val="24"/>
          <w:lang w:val="es-ES" w:eastAsia="es-ES"/>
        </w:rPr>
        <w:t xml:space="preserve"> </w:t>
      </w:r>
      <w:r w:rsidR="006F1C7D">
        <w:rPr>
          <w:rFonts w:ascii="Arial" w:hAnsi="Arial" w:cs="Arial"/>
          <w:noProof/>
          <w:sz w:val="24"/>
          <w:szCs w:val="24"/>
          <w:lang w:val="es-ES" w:eastAsia="es-ES"/>
        </w:rPr>
        <w:t xml:space="preserve">con el 19,11% </w:t>
      </w:r>
      <w:r>
        <w:rPr>
          <w:rFonts w:ascii="Arial" w:hAnsi="Arial" w:cs="Arial"/>
          <w:noProof/>
          <w:sz w:val="24"/>
          <w:szCs w:val="24"/>
          <w:lang w:val="es-ES" w:eastAsia="es-ES"/>
        </w:rPr>
        <w:t>(</w:t>
      </w:r>
      <w:r w:rsidR="006F1C7D">
        <w:rPr>
          <w:rFonts w:ascii="Arial" w:hAnsi="Arial" w:cs="Arial"/>
          <w:noProof/>
          <w:sz w:val="24"/>
          <w:szCs w:val="24"/>
          <w:lang w:val="es-ES" w:eastAsia="es-ES"/>
        </w:rPr>
        <w:t>418</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E85348" w:rsidRDefault="00E85348" w:rsidP="00EF1BFD">
      <w:pPr>
        <w:spacing w:after="0" w:line="240" w:lineRule="auto"/>
        <w:jc w:val="both"/>
        <w:rPr>
          <w:rFonts w:ascii="Arial" w:hAnsi="Arial" w:cs="Arial"/>
          <w:noProof/>
          <w:sz w:val="24"/>
          <w:szCs w:val="24"/>
          <w:lang w:val="es-ES" w:eastAsia="es-ES"/>
        </w:rPr>
      </w:pPr>
      <w:r>
        <w:rPr>
          <w:noProof/>
          <w:lang w:eastAsia="es-CO"/>
        </w:rPr>
        <w:lastRenderedPageBreak/>
        <w:drawing>
          <wp:inline distT="0" distB="0" distL="0" distR="0" wp14:anchorId="08688316" wp14:editId="2C79A8D4">
            <wp:extent cx="5829300" cy="3590925"/>
            <wp:effectExtent l="0" t="0" r="0" b="9525"/>
            <wp:docPr id="7" name="Gráfic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D358C8A-F00C-4A27-AC87-637B6D17B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Pr="00DF7866" w:rsidRDefault="00371C72" w:rsidP="00EF1BFD">
      <w:pPr>
        <w:spacing w:after="0" w:line="240" w:lineRule="auto"/>
        <w:rPr>
          <w:rFonts w:ascii="Arial" w:hAnsi="Arial" w:cs="Arial"/>
          <w:sz w:val="24"/>
          <w:szCs w:val="24"/>
        </w:rPr>
      </w:pPr>
    </w:p>
    <w:p w:rsidR="006E42C0" w:rsidRDefault="00A43601" w:rsidP="00EF1BFD">
      <w:pPr>
        <w:pStyle w:val="Ttulo2"/>
        <w:spacing w:before="0" w:after="0" w:line="240" w:lineRule="auto"/>
        <w:rPr>
          <w:rFonts w:cs="Arial"/>
          <w:noProof/>
          <w:szCs w:val="24"/>
        </w:rPr>
      </w:pPr>
      <w:bookmarkStart w:id="15" w:name="_Toc16758371"/>
      <w:r w:rsidRPr="00DF7866">
        <w:rPr>
          <w:rFonts w:cs="Arial"/>
          <w:noProof/>
          <w:szCs w:val="24"/>
        </w:rPr>
        <w:t xml:space="preserve">Tipo </w:t>
      </w:r>
      <w:r>
        <w:rPr>
          <w:rFonts w:cs="Arial"/>
          <w:noProof/>
          <w:szCs w:val="24"/>
        </w:rPr>
        <w:t>d</w:t>
      </w:r>
      <w:r w:rsidRPr="00DF7866">
        <w:rPr>
          <w:rFonts w:cs="Arial"/>
          <w:noProof/>
          <w:szCs w:val="24"/>
        </w:rPr>
        <w:t>e Requiriente</w:t>
      </w:r>
      <w:bookmarkEnd w:id="15"/>
    </w:p>
    <w:p w:rsidR="00DB6FFD" w:rsidRPr="00DB6FFD" w:rsidRDefault="00DB6FFD" w:rsidP="00EF1BFD">
      <w:pPr>
        <w:spacing w:after="0" w:line="240" w:lineRule="auto"/>
        <w:rPr>
          <w:lang w:val="es-ES_tradnl" w:eastAsia="es-ES"/>
        </w:rPr>
      </w:pPr>
    </w:p>
    <w:p w:rsidR="009A5FCB" w:rsidRPr="00D91976" w:rsidRDefault="009A5FCB" w:rsidP="009A5FCB">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Pr>
          <w:rFonts w:ascii="Arial" w:hAnsi="Arial" w:cs="Arial"/>
          <w:noProof/>
          <w:sz w:val="24"/>
          <w:szCs w:val="24"/>
          <w:lang w:val="es-ES" w:eastAsia="es-ES"/>
        </w:rPr>
        <w:t>2.187</w:t>
      </w:r>
      <w:r w:rsidRPr="006E55D6">
        <w:rPr>
          <w:rFonts w:ascii="Arial" w:hAnsi="Arial" w:cs="Arial"/>
          <w:noProof/>
          <w:sz w:val="24"/>
          <w:szCs w:val="24"/>
          <w:lang w:val="es-ES" w:eastAsia="es-ES"/>
        </w:rPr>
        <w:t xml:space="preserve"> (100%) PQRSD interpuestas, el </w:t>
      </w:r>
      <w:r>
        <w:rPr>
          <w:rFonts w:ascii="Arial" w:hAnsi="Arial" w:cs="Arial"/>
          <w:noProof/>
          <w:sz w:val="24"/>
          <w:szCs w:val="24"/>
          <w:lang w:val="es-ES" w:eastAsia="es-ES"/>
        </w:rPr>
        <w:t>96,30</w:t>
      </w:r>
      <w:r w:rsidRPr="006E55D6">
        <w:rPr>
          <w:rFonts w:ascii="Arial" w:hAnsi="Arial" w:cs="Arial"/>
          <w:noProof/>
          <w:sz w:val="24"/>
          <w:szCs w:val="24"/>
          <w:lang w:val="es-ES" w:eastAsia="es-ES"/>
        </w:rPr>
        <w:t>% (</w:t>
      </w:r>
      <w:r>
        <w:rPr>
          <w:rFonts w:ascii="Arial" w:hAnsi="Arial" w:cs="Arial"/>
          <w:noProof/>
          <w:sz w:val="24"/>
          <w:szCs w:val="24"/>
          <w:lang w:val="es-ES" w:eastAsia="es-ES"/>
        </w:rPr>
        <w:t>2.106</w:t>
      </w:r>
      <w:r w:rsidRPr="006E55D6">
        <w:rPr>
          <w:rFonts w:ascii="Arial" w:hAnsi="Arial" w:cs="Arial"/>
          <w:noProof/>
          <w:sz w:val="24"/>
          <w:szCs w:val="24"/>
          <w:lang w:val="es-ES" w:eastAsia="es-ES"/>
        </w:rPr>
        <w:t>) son personas naturales</w:t>
      </w:r>
      <w:r>
        <w:rPr>
          <w:rFonts w:ascii="Arial" w:hAnsi="Arial" w:cs="Arial"/>
          <w:noProof/>
          <w:sz w:val="24"/>
          <w:szCs w:val="24"/>
          <w:lang w:val="es-ES" w:eastAsia="es-ES"/>
        </w:rPr>
        <w:t>, el 2,65% (58) con personas Juridicas</w:t>
      </w:r>
      <w:r w:rsidRPr="006E55D6">
        <w:rPr>
          <w:rFonts w:ascii="Arial" w:hAnsi="Arial" w:cs="Arial"/>
          <w:noProof/>
          <w:sz w:val="24"/>
          <w:szCs w:val="24"/>
          <w:lang w:val="es-ES" w:eastAsia="es-ES"/>
        </w:rPr>
        <w:t xml:space="preserve"> y el 1,</w:t>
      </w:r>
      <w:r>
        <w:rPr>
          <w:rFonts w:ascii="Arial" w:hAnsi="Arial" w:cs="Arial"/>
          <w:noProof/>
          <w:sz w:val="24"/>
          <w:szCs w:val="24"/>
          <w:lang w:val="es-ES" w:eastAsia="es-ES"/>
        </w:rPr>
        <w:t>05%</w:t>
      </w:r>
      <w:r w:rsidRPr="006E55D6">
        <w:rPr>
          <w:rFonts w:ascii="Arial" w:hAnsi="Arial" w:cs="Arial"/>
          <w:noProof/>
          <w:sz w:val="24"/>
          <w:szCs w:val="24"/>
          <w:lang w:val="es-ES" w:eastAsia="es-ES"/>
        </w:rPr>
        <w:t xml:space="preserve"> (</w:t>
      </w:r>
      <w:r>
        <w:rPr>
          <w:rFonts w:ascii="Arial" w:hAnsi="Arial" w:cs="Arial"/>
          <w:noProof/>
          <w:sz w:val="24"/>
          <w:szCs w:val="24"/>
          <w:lang w:val="es-ES" w:eastAsia="es-ES"/>
        </w:rPr>
        <w:t>23</w:t>
      </w:r>
      <w:r w:rsidRPr="006E55D6">
        <w:rPr>
          <w:rFonts w:ascii="Arial" w:hAnsi="Arial" w:cs="Arial"/>
          <w:noProof/>
          <w:sz w:val="24"/>
          <w:szCs w:val="24"/>
          <w:lang w:val="es-ES" w:eastAsia="es-ES"/>
        </w:rPr>
        <w:t xml:space="preserve">) </w:t>
      </w:r>
      <w:r>
        <w:rPr>
          <w:rFonts w:ascii="Arial" w:hAnsi="Arial" w:cs="Arial"/>
          <w:noProof/>
          <w:sz w:val="24"/>
          <w:szCs w:val="24"/>
          <w:lang w:val="es-ES" w:eastAsia="es-ES"/>
        </w:rPr>
        <w:t>no reporta esta información.</w:t>
      </w:r>
    </w:p>
    <w:p w:rsidR="00DB6FFD" w:rsidRDefault="00DB6FFD" w:rsidP="00EF1BFD">
      <w:pPr>
        <w:spacing w:after="0" w:line="240" w:lineRule="auto"/>
        <w:rPr>
          <w:lang w:val="es-ES_tradnl" w:eastAsia="es-ES"/>
        </w:rPr>
      </w:pPr>
    </w:p>
    <w:p w:rsidR="00D6313E" w:rsidRDefault="009A5FCB" w:rsidP="00EF1BFD">
      <w:pPr>
        <w:spacing w:after="0" w:line="240" w:lineRule="auto"/>
        <w:rPr>
          <w:lang w:val="es-ES_tradnl" w:eastAsia="es-ES"/>
        </w:rPr>
      </w:pPr>
      <w:r>
        <w:rPr>
          <w:noProof/>
          <w:lang w:eastAsia="es-CO"/>
        </w:rPr>
        <w:drawing>
          <wp:inline distT="0" distB="0" distL="0" distR="0" wp14:anchorId="524E8B94" wp14:editId="2A4DA04F">
            <wp:extent cx="5972175" cy="2152650"/>
            <wp:effectExtent l="0" t="0" r="9525" b="0"/>
            <wp:docPr id="11" name="Gráfico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C24E703-D60C-4759-92FC-4A025CD43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6144" w:rsidRDefault="00026144"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E07162" w:rsidRPr="00E07162" w:rsidRDefault="00E07162" w:rsidP="00EF1BFD">
      <w:pPr>
        <w:pStyle w:val="Ttulo2"/>
        <w:spacing w:before="0" w:after="0" w:line="240" w:lineRule="auto"/>
        <w:rPr>
          <w:noProof/>
        </w:rPr>
      </w:pPr>
      <w:bookmarkStart w:id="16" w:name="_Toc11337900"/>
      <w:bookmarkStart w:id="17" w:name="_Toc16758372"/>
      <w:r w:rsidRPr="00E07162">
        <w:rPr>
          <w:noProof/>
        </w:rPr>
        <w:lastRenderedPageBreak/>
        <w:t>Calidad del Requiriente</w:t>
      </w:r>
      <w:bookmarkEnd w:id="16"/>
      <w:bookmarkEnd w:id="17"/>
      <w:r w:rsidRPr="00E07162">
        <w:rPr>
          <w:noProof/>
        </w:rPr>
        <w:t xml:space="preserve"> </w:t>
      </w:r>
    </w:p>
    <w:p w:rsidR="00457CDE" w:rsidRDefault="00457CDE"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B01B8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sidR="00163C7F">
              <w:rPr>
                <w:rFonts w:ascii="Arial" w:hAnsi="Arial" w:cs="Arial"/>
                <w:sz w:val="20"/>
                <w:szCs w:val="20"/>
                <w:lang w:val="es-ES"/>
              </w:rPr>
              <w:t>5</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267B9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28</w:t>
            </w:r>
          </w:p>
        </w:tc>
        <w:tc>
          <w:tcPr>
            <w:tcW w:w="2193" w:type="dxa"/>
            <w:tcBorders>
              <w:top w:val="single" w:sz="4" w:space="0" w:color="DBE5F1" w:themeColor="accent1" w:themeTint="33"/>
            </w:tcBorders>
            <w:noWrap/>
            <w:vAlign w:val="center"/>
          </w:tcPr>
          <w:p w:rsidR="00E07162" w:rsidRPr="00C913FE" w:rsidRDefault="00267B9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1,28</w:t>
            </w:r>
            <w:r w:rsidR="00061016">
              <w:rPr>
                <w:rFonts w:ascii="Arial" w:eastAsia="Times New Roman" w:hAnsi="Arial" w:cs="Arial"/>
                <w:color w:val="000000"/>
                <w:sz w:val="20"/>
                <w:szCs w:val="20"/>
                <w:lang w:eastAsia="es-CO"/>
              </w:rPr>
              <w:t>%</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267B9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r w:rsidR="00865F92">
              <w:rPr>
                <w:rFonts w:ascii="Arial" w:eastAsia="Times New Roman" w:hAnsi="Arial" w:cs="Arial"/>
                <w:color w:val="000000"/>
                <w:sz w:val="20"/>
                <w:szCs w:val="20"/>
                <w:lang w:eastAsia="es-CO"/>
              </w:rPr>
              <w:t>.</w:t>
            </w:r>
            <w:r>
              <w:rPr>
                <w:rFonts w:ascii="Arial" w:eastAsia="Times New Roman" w:hAnsi="Arial" w:cs="Arial"/>
                <w:color w:val="000000"/>
                <w:sz w:val="20"/>
                <w:szCs w:val="20"/>
                <w:lang w:eastAsia="es-CO"/>
              </w:rPr>
              <w:t>159</w:t>
            </w:r>
          </w:p>
        </w:tc>
        <w:tc>
          <w:tcPr>
            <w:tcW w:w="2193" w:type="dxa"/>
            <w:noWrap/>
            <w:vAlign w:val="center"/>
          </w:tcPr>
          <w:p w:rsidR="00E07162" w:rsidRPr="00C913FE" w:rsidRDefault="00267B9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98,72</w:t>
            </w:r>
            <w:r w:rsidR="00061016">
              <w:rPr>
                <w:rFonts w:ascii="Arial" w:eastAsia="Times New Roman" w:hAnsi="Arial" w:cs="Arial"/>
                <w:color w:val="000000"/>
                <w:sz w:val="20"/>
                <w:szCs w:val="20"/>
                <w:lang w:eastAsia="es-CO"/>
              </w:rPr>
              <w:t>%</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267B9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w:t>
            </w:r>
            <w:r w:rsidR="00865F92">
              <w:rPr>
                <w:rFonts w:ascii="Arial" w:eastAsia="Times New Roman" w:hAnsi="Arial" w:cs="Arial"/>
                <w:b/>
                <w:color w:val="000000"/>
                <w:sz w:val="20"/>
                <w:szCs w:val="20"/>
                <w:lang w:eastAsia="es-CO"/>
              </w:rPr>
              <w:t>.</w:t>
            </w:r>
            <w:r>
              <w:rPr>
                <w:rFonts w:ascii="Arial" w:eastAsia="Times New Roman" w:hAnsi="Arial" w:cs="Arial"/>
                <w:b/>
                <w:color w:val="000000"/>
                <w:sz w:val="20"/>
                <w:szCs w:val="20"/>
                <w:lang w:eastAsia="es-CO"/>
              </w:rPr>
              <w:t>187</w:t>
            </w:r>
          </w:p>
        </w:tc>
        <w:tc>
          <w:tcPr>
            <w:tcW w:w="2193"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Pr="007E2536"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700C9B" w:rsidRDefault="00700C9B" w:rsidP="00803F0C">
      <w:pPr>
        <w:pStyle w:val="Ttulo2"/>
        <w:numPr>
          <w:ilvl w:val="0"/>
          <w:numId w:val="0"/>
        </w:numPr>
        <w:spacing w:before="0" w:after="0" w:line="240" w:lineRule="auto"/>
        <w:ind w:left="227" w:hanging="170"/>
      </w:pPr>
      <w:bookmarkStart w:id="18" w:name="_Toc11761650"/>
    </w:p>
    <w:p w:rsidR="001306E0" w:rsidRDefault="001306E0" w:rsidP="0019796A">
      <w:pPr>
        <w:pStyle w:val="Ttulo2"/>
        <w:spacing w:before="0" w:after="0" w:line="240" w:lineRule="auto"/>
        <w:rPr>
          <w:rFonts w:cs="Arial"/>
          <w:szCs w:val="24"/>
        </w:rPr>
      </w:pPr>
      <w:bookmarkStart w:id="19" w:name="_Toc16758373"/>
      <w:r>
        <w:rPr>
          <w:rFonts w:cs="Arial"/>
          <w:szCs w:val="24"/>
        </w:rPr>
        <w:t>Recomendaciones y Observaciones de la Ciudadanía</w:t>
      </w:r>
      <w:bookmarkEnd w:id="18"/>
      <w:bookmarkEnd w:id="19"/>
    </w:p>
    <w:p w:rsidR="0019796A" w:rsidRPr="0019796A" w:rsidRDefault="0019796A" w:rsidP="0019796A">
      <w:pPr>
        <w:spacing w:after="0" w:line="240" w:lineRule="auto"/>
        <w:rPr>
          <w:lang w:val="es-ES_tradnl" w:eastAsia="es-ES"/>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FA33A0" w:rsidRPr="00451A08" w:rsidRDefault="00451A0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b/>
          <w:sz w:val="24"/>
          <w:szCs w:val="24"/>
        </w:rPr>
        <w:t xml:space="preserve"> </w:t>
      </w:r>
      <w:r w:rsidRPr="00451A08">
        <w:rPr>
          <w:rFonts w:ascii="Arial" w:hAnsi="Arial" w:cs="Arial"/>
          <w:sz w:val="24"/>
          <w:szCs w:val="24"/>
        </w:rPr>
        <w:t xml:space="preserve">Para el mes de junio la entidad no recibió </w:t>
      </w:r>
      <w:r w:rsidR="0092134A">
        <w:rPr>
          <w:rFonts w:ascii="Arial" w:hAnsi="Arial" w:cs="Arial"/>
          <w:sz w:val="24"/>
          <w:szCs w:val="24"/>
        </w:rPr>
        <w:t xml:space="preserve">un mayor número de </w:t>
      </w:r>
      <w:r w:rsidRPr="00451A08">
        <w:rPr>
          <w:rFonts w:ascii="Arial" w:hAnsi="Arial" w:cs="Arial"/>
          <w:sz w:val="24"/>
          <w:szCs w:val="24"/>
        </w:rPr>
        <w:t xml:space="preserve">PQRSD relacionada con Quejas y Reclamos, por tal motivo no se genera recomendación por parte de la CVP sobre los tramites </w:t>
      </w:r>
      <w:r w:rsidR="0092134A">
        <w:rPr>
          <w:rFonts w:ascii="Arial" w:hAnsi="Arial" w:cs="Arial"/>
          <w:sz w:val="24"/>
          <w:szCs w:val="24"/>
        </w:rPr>
        <w:t xml:space="preserve">y </w:t>
      </w:r>
      <w:r w:rsidRPr="00451A08">
        <w:rPr>
          <w:rFonts w:ascii="Arial" w:hAnsi="Arial" w:cs="Arial"/>
          <w:sz w:val="24"/>
          <w:szCs w:val="24"/>
        </w:rPr>
        <w:t>servicios de la entidad.</w:t>
      </w:r>
    </w:p>
    <w:p w:rsidR="00451A08" w:rsidRDefault="00451A08"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sidR="00FA33A0">
        <w:rPr>
          <w:rFonts w:ascii="Arial" w:hAnsi="Arial" w:cs="Arial"/>
          <w:sz w:val="24"/>
          <w:szCs w:val="24"/>
        </w:rPr>
        <w:t>.</w:t>
      </w:r>
    </w:p>
    <w:p w:rsidR="00412A8E" w:rsidRPr="00412A8E" w:rsidRDefault="00FA33A0"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Para el mes de junio la entidad no recibió PQRSD relacionada con r</w:t>
      </w:r>
      <w:r w:rsidRPr="005568EA">
        <w:rPr>
          <w:rFonts w:ascii="Arial" w:hAnsi="Arial" w:cs="Arial"/>
          <w:sz w:val="24"/>
          <w:szCs w:val="24"/>
        </w:rPr>
        <w:t xml:space="preserve">ecomendaciones de los particulares dirigidas a mejorar el servicio que preste la </w:t>
      </w:r>
      <w:r>
        <w:rPr>
          <w:rFonts w:ascii="Arial" w:hAnsi="Arial" w:cs="Arial"/>
          <w:sz w:val="24"/>
          <w:szCs w:val="24"/>
        </w:rPr>
        <w:t>Caja de Vivienda Popular</w:t>
      </w:r>
      <w:r w:rsidR="00B50CD3">
        <w:rPr>
          <w:rFonts w:ascii="Arial" w:hAnsi="Arial" w:cs="Arial"/>
          <w:sz w:val="24"/>
          <w:szCs w:val="24"/>
        </w:rPr>
        <w:t>.</w:t>
      </w:r>
    </w:p>
    <w:p w:rsidR="00FA33A0" w:rsidRPr="00FA33A0" w:rsidRDefault="00FA33A0" w:rsidP="0019796A">
      <w:pPr>
        <w:pStyle w:val="Prrafodelista"/>
        <w:spacing w:after="0" w:line="240" w:lineRule="auto"/>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172018" w:rsidRDefault="0017201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Para el mes de junio la entidad no recibió PQRSD relacionada con r</w:t>
      </w:r>
      <w:r w:rsidRPr="005568EA">
        <w:rPr>
          <w:rFonts w:ascii="Arial" w:hAnsi="Arial" w:cs="Arial"/>
          <w:sz w:val="24"/>
          <w:szCs w:val="24"/>
        </w:rPr>
        <w:t>ecomendaciones de los particulares dirigidas a incentivar la participación en la gestión pública</w:t>
      </w:r>
      <w:r w:rsidR="00B50CD3">
        <w:rPr>
          <w:rFonts w:ascii="Arial" w:hAnsi="Arial" w:cs="Arial"/>
          <w:sz w:val="24"/>
          <w:szCs w:val="24"/>
        </w:rPr>
        <w:t>.</w:t>
      </w:r>
    </w:p>
    <w:p w:rsidR="00FA33A0" w:rsidRDefault="00FA33A0"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366CC2" w:rsidRPr="00172018" w:rsidRDefault="00172018" w:rsidP="00EF1BFD">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Para el mes de junio la entidad no recibió PQRSD relacionada con r</w:t>
      </w:r>
      <w:r w:rsidRPr="005568EA">
        <w:rPr>
          <w:rFonts w:ascii="Arial" w:hAnsi="Arial" w:cs="Arial"/>
          <w:sz w:val="24"/>
          <w:szCs w:val="24"/>
        </w:rPr>
        <w:t>ecomendaciones de los particulares dirigidas a racionalizar el empleo de los recursos disponibles</w:t>
      </w:r>
    </w:p>
    <w:p w:rsidR="00CC7563" w:rsidRDefault="00CC7563" w:rsidP="00EF1BFD">
      <w:pPr>
        <w:pStyle w:val="Ttulo1"/>
        <w:spacing w:before="0" w:after="0" w:line="240" w:lineRule="auto"/>
        <w:jc w:val="left"/>
        <w:rPr>
          <w:rFonts w:cs="Arial"/>
          <w:szCs w:val="24"/>
        </w:rPr>
      </w:pPr>
      <w:bookmarkStart w:id="20" w:name="_Toc3271538"/>
      <w:bookmarkStart w:id="21" w:name="_Toc6996651"/>
      <w:bookmarkStart w:id="22" w:name="_Toc11337901"/>
      <w:bookmarkStart w:id="23" w:name="_Toc16758374"/>
      <w:r w:rsidRPr="00DF7866">
        <w:rPr>
          <w:rFonts w:cs="Arial"/>
          <w:szCs w:val="24"/>
        </w:rPr>
        <w:lastRenderedPageBreak/>
        <w:t xml:space="preserve">OPORTUNIDAD DE RESPUESTA A LAS PQRSD EN EL </w:t>
      </w:r>
      <w:r w:rsidR="00B54700">
        <w:rPr>
          <w:rFonts w:cs="Arial"/>
          <w:szCs w:val="24"/>
        </w:rPr>
        <w:t xml:space="preserve">PRIMER </w:t>
      </w:r>
      <w:bookmarkEnd w:id="20"/>
      <w:bookmarkEnd w:id="21"/>
      <w:bookmarkEnd w:id="22"/>
      <w:r w:rsidR="00B54700">
        <w:rPr>
          <w:rFonts w:cs="Arial"/>
          <w:szCs w:val="24"/>
        </w:rPr>
        <w:t>SEMESTRE</w:t>
      </w:r>
      <w:bookmarkEnd w:id="23"/>
    </w:p>
    <w:p w:rsidR="00CC7563" w:rsidRDefault="00CC7563" w:rsidP="00EF1BFD">
      <w:pPr>
        <w:spacing w:after="0" w:line="240" w:lineRule="auto"/>
        <w:jc w:val="both"/>
        <w:rPr>
          <w:rFonts w:ascii="Arial" w:hAnsi="Arial" w:cs="Arial"/>
          <w:color w:val="000000" w:themeColor="text1"/>
          <w:sz w:val="20"/>
          <w:szCs w:val="20"/>
        </w:rPr>
      </w:pPr>
    </w:p>
    <w:p w:rsidR="00CC7563" w:rsidRDefault="00CC7563" w:rsidP="00EF1BFD">
      <w:pPr>
        <w:spacing w:after="0" w:line="240" w:lineRule="auto"/>
        <w:jc w:val="both"/>
        <w:rPr>
          <w:rFonts w:ascii="Arial" w:hAnsi="Arial" w:cs="Arial"/>
          <w:color w:val="000000" w:themeColor="text1"/>
          <w:sz w:val="20"/>
          <w:szCs w:val="20"/>
        </w:rPr>
      </w:pPr>
    </w:p>
    <w:p w:rsidR="00CC7563" w:rsidRPr="00DF7866" w:rsidRDefault="00CC7563" w:rsidP="00EF1BFD">
      <w:pPr>
        <w:pStyle w:val="Ttulo2"/>
        <w:spacing w:before="0" w:after="0" w:line="240" w:lineRule="auto"/>
        <w:rPr>
          <w:rFonts w:cs="Arial"/>
          <w:szCs w:val="24"/>
        </w:rPr>
      </w:pPr>
      <w:bookmarkStart w:id="24" w:name="_Toc3271539"/>
      <w:bookmarkStart w:id="25" w:name="_Toc6996652"/>
      <w:bookmarkStart w:id="26" w:name="_Toc11337902"/>
      <w:bookmarkStart w:id="27" w:name="_Toc16758375"/>
      <w:r w:rsidRPr="00DF7866">
        <w:rPr>
          <w:rFonts w:cs="Arial"/>
          <w:szCs w:val="24"/>
        </w:rPr>
        <w:t>PQRSD Cerradas Presentadas en el Período Actual</w:t>
      </w:r>
      <w:bookmarkEnd w:id="24"/>
      <w:bookmarkEnd w:id="25"/>
      <w:bookmarkEnd w:id="26"/>
      <w:bookmarkEnd w:id="27"/>
      <w:r w:rsidRPr="00DF7866">
        <w:rPr>
          <w:rFonts w:cs="Arial"/>
          <w:szCs w:val="24"/>
        </w:rPr>
        <w:t xml:space="preserve"> </w:t>
      </w:r>
    </w:p>
    <w:p w:rsidR="00CC7563" w:rsidRDefault="00CC7563" w:rsidP="00EF1BFD">
      <w:pPr>
        <w:spacing w:after="0" w:line="240" w:lineRule="auto"/>
        <w:jc w:val="both"/>
        <w:rPr>
          <w:rFonts w:ascii="Arial" w:hAnsi="Arial" w:cs="Arial"/>
          <w:color w:val="000000" w:themeColor="text1"/>
          <w:sz w:val="20"/>
          <w:szCs w:val="20"/>
        </w:rPr>
      </w:pPr>
    </w:p>
    <w:p w:rsidR="00B90307"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F03952">
        <w:rPr>
          <w:rFonts w:ascii="Arial" w:hAnsi="Arial" w:cs="Arial"/>
          <w:color w:val="000000" w:themeColor="text1"/>
          <w:sz w:val="24"/>
          <w:szCs w:val="24"/>
        </w:rPr>
        <w:t>2</w:t>
      </w:r>
      <w:r w:rsidR="00411F91">
        <w:rPr>
          <w:rFonts w:ascii="Arial" w:hAnsi="Arial" w:cs="Arial"/>
          <w:color w:val="000000" w:themeColor="text1"/>
          <w:sz w:val="24"/>
          <w:szCs w:val="24"/>
        </w:rPr>
        <w:t>.</w:t>
      </w:r>
      <w:r w:rsidR="00F03952">
        <w:rPr>
          <w:rFonts w:ascii="Arial" w:hAnsi="Arial" w:cs="Arial"/>
          <w:color w:val="000000" w:themeColor="text1"/>
          <w:sz w:val="24"/>
          <w:szCs w:val="24"/>
        </w:rPr>
        <w:t>187</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PQRSD recibidas en</w:t>
      </w:r>
      <w:r w:rsidR="00F03952">
        <w:rPr>
          <w:rFonts w:ascii="Arial" w:hAnsi="Arial" w:cs="Arial"/>
          <w:color w:val="000000" w:themeColor="text1"/>
          <w:sz w:val="24"/>
          <w:szCs w:val="24"/>
        </w:rPr>
        <w:t xml:space="preserve"> el primer semestre de 2019</w:t>
      </w:r>
      <w:r w:rsidRPr="00DF7866">
        <w:rPr>
          <w:rFonts w:ascii="Arial" w:hAnsi="Arial" w:cs="Arial"/>
          <w:color w:val="000000" w:themeColor="text1"/>
          <w:sz w:val="24"/>
          <w:szCs w:val="24"/>
        </w:rPr>
        <w:t xml:space="preserve">, </w:t>
      </w:r>
      <w:r w:rsidR="00E50569">
        <w:rPr>
          <w:rFonts w:ascii="Arial" w:hAnsi="Arial" w:cs="Arial"/>
          <w:color w:val="000000" w:themeColor="text1"/>
          <w:sz w:val="24"/>
          <w:szCs w:val="24"/>
        </w:rPr>
        <w:t>603 (</w:t>
      </w:r>
      <w:r w:rsidR="00CB3E65" w:rsidRPr="00CB3E65">
        <w:rPr>
          <w:rFonts w:ascii="Arial" w:hAnsi="Arial" w:cs="Arial"/>
          <w:color w:val="000000" w:themeColor="text1"/>
          <w:sz w:val="24"/>
          <w:szCs w:val="24"/>
        </w:rPr>
        <w:t>27,57</w:t>
      </w:r>
      <w:r w:rsidRPr="00DF7866">
        <w:rPr>
          <w:rFonts w:ascii="Arial" w:hAnsi="Arial" w:cs="Arial"/>
          <w:color w:val="000000" w:themeColor="text1"/>
          <w:sz w:val="24"/>
          <w:szCs w:val="24"/>
        </w:rPr>
        <w:t>%</w:t>
      </w:r>
      <w:r w:rsidR="00E50569">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debieron responderse antes de finalizar el mismo periodo </w:t>
      </w:r>
      <w:r w:rsidR="00E719A2">
        <w:rPr>
          <w:rFonts w:ascii="Arial" w:hAnsi="Arial" w:cs="Arial"/>
          <w:color w:val="000000" w:themeColor="text1"/>
          <w:sz w:val="24"/>
          <w:szCs w:val="24"/>
        </w:rPr>
        <w:t xml:space="preserve">(mensual)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recibidas.</w:t>
      </w:r>
      <w:r w:rsidR="00E50569">
        <w:rPr>
          <w:rFonts w:ascii="Arial" w:hAnsi="Arial" w:cs="Arial"/>
          <w:color w:val="000000" w:themeColor="text1"/>
          <w:sz w:val="24"/>
          <w:szCs w:val="24"/>
        </w:rPr>
        <w:t xml:space="preserve"> Y las restantes, 1</w:t>
      </w:r>
      <w:r w:rsidR="00537BF2">
        <w:rPr>
          <w:rFonts w:ascii="Arial" w:hAnsi="Arial" w:cs="Arial"/>
          <w:color w:val="000000" w:themeColor="text1"/>
          <w:sz w:val="24"/>
          <w:szCs w:val="24"/>
        </w:rPr>
        <w:t>.</w:t>
      </w:r>
      <w:r w:rsidR="00E50569">
        <w:rPr>
          <w:rFonts w:ascii="Arial" w:hAnsi="Arial" w:cs="Arial"/>
          <w:color w:val="000000" w:themeColor="text1"/>
          <w:sz w:val="24"/>
          <w:szCs w:val="24"/>
        </w:rPr>
        <w:t>584 (</w:t>
      </w:r>
      <w:r w:rsidR="003D092C" w:rsidRPr="003D092C">
        <w:rPr>
          <w:rFonts w:ascii="Arial" w:hAnsi="Arial" w:cs="Arial"/>
          <w:color w:val="000000" w:themeColor="text1"/>
          <w:sz w:val="24"/>
          <w:szCs w:val="24"/>
        </w:rPr>
        <w:t>72,4</w:t>
      </w:r>
      <w:r w:rsidR="003D092C">
        <w:rPr>
          <w:rFonts w:ascii="Arial" w:hAnsi="Arial" w:cs="Arial"/>
          <w:color w:val="000000" w:themeColor="text1"/>
          <w:sz w:val="24"/>
          <w:szCs w:val="24"/>
        </w:rPr>
        <w:t>3%) podrían ser solucionadas en el mes o mese</w:t>
      </w:r>
      <w:r w:rsidR="00F57917">
        <w:rPr>
          <w:rFonts w:ascii="Arial" w:hAnsi="Arial" w:cs="Arial"/>
          <w:color w:val="000000" w:themeColor="text1"/>
          <w:sz w:val="24"/>
          <w:szCs w:val="24"/>
        </w:rPr>
        <w:t>s</w:t>
      </w:r>
      <w:r w:rsidR="003D092C">
        <w:rPr>
          <w:rFonts w:ascii="Arial" w:hAnsi="Arial" w:cs="Arial"/>
          <w:color w:val="000000" w:themeColor="text1"/>
          <w:sz w:val="24"/>
          <w:szCs w:val="24"/>
        </w:rPr>
        <w:t xml:space="preserve"> siguientes </w:t>
      </w:r>
      <w:r w:rsidR="00F57917">
        <w:rPr>
          <w:rFonts w:ascii="Arial" w:hAnsi="Arial" w:cs="Arial"/>
          <w:color w:val="000000" w:themeColor="text1"/>
          <w:sz w:val="24"/>
          <w:szCs w:val="24"/>
        </w:rPr>
        <w:t xml:space="preserve">a la </w:t>
      </w:r>
      <w:r w:rsidR="003D092C">
        <w:rPr>
          <w:rFonts w:ascii="Arial" w:hAnsi="Arial" w:cs="Arial"/>
          <w:color w:val="000000" w:themeColor="text1"/>
          <w:sz w:val="24"/>
          <w:szCs w:val="24"/>
        </w:rPr>
        <w:t xml:space="preserve">presentación, ya que estas no tenían fecha de límite de respuesta dentro del mismo mes de </w:t>
      </w:r>
      <w:r w:rsidR="003E59A1">
        <w:rPr>
          <w:rFonts w:ascii="Arial" w:hAnsi="Arial" w:cs="Arial"/>
          <w:color w:val="000000" w:themeColor="text1"/>
          <w:sz w:val="24"/>
          <w:szCs w:val="24"/>
        </w:rPr>
        <w:t>radicación</w:t>
      </w:r>
      <w:r w:rsidR="003D092C">
        <w:rPr>
          <w:rFonts w:ascii="Arial" w:hAnsi="Arial" w:cs="Arial"/>
          <w:color w:val="000000" w:themeColor="text1"/>
          <w:sz w:val="24"/>
          <w:szCs w:val="24"/>
        </w:rPr>
        <w:t>.</w:t>
      </w:r>
    </w:p>
    <w:p w:rsidR="00B90307" w:rsidRDefault="00B90307" w:rsidP="00EF1BFD">
      <w:pPr>
        <w:spacing w:after="0" w:line="240" w:lineRule="auto"/>
        <w:jc w:val="both"/>
        <w:rPr>
          <w:rFonts w:ascii="Arial" w:hAnsi="Arial" w:cs="Arial"/>
          <w:color w:val="000000" w:themeColor="text1"/>
          <w:sz w:val="24"/>
          <w:szCs w:val="24"/>
        </w:rPr>
      </w:pPr>
    </w:p>
    <w:p w:rsidR="00B822E6" w:rsidRDefault="00743638"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De las 2.187 (100%) PQRSD presentadas en el primer semestre, se dio respuesta a </w:t>
      </w:r>
      <w:r w:rsidR="006663DF">
        <w:rPr>
          <w:rFonts w:ascii="Arial" w:hAnsi="Arial" w:cs="Arial"/>
          <w:color w:val="000000" w:themeColor="text1"/>
          <w:sz w:val="24"/>
          <w:szCs w:val="24"/>
        </w:rPr>
        <w:t>2.043</w:t>
      </w:r>
      <w:r>
        <w:rPr>
          <w:rFonts w:ascii="Arial" w:hAnsi="Arial" w:cs="Arial"/>
          <w:color w:val="000000" w:themeColor="text1"/>
          <w:sz w:val="24"/>
          <w:szCs w:val="24"/>
        </w:rPr>
        <w:t xml:space="preserve"> (</w:t>
      </w:r>
      <w:r w:rsidR="00507DBD" w:rsidRPr="00507DBD">
        <w:rPr>
          <w:rFonts w:ascii="Arial" w:hAnsi="Arial" w:cs="Arial"/>
          <w:color w:val="000000" w:themeColor="text1"/>
          <w:sz w:val="24"/>
          <w:szCs w:val="24"/>
        </w:rPr>
        <w:t>93,4</w:t>
      </w:r>
      <w:r w:rsidR="00507DBD">
        <w:rPr>
          <w:rFonts w:ascii="Arial" w:hAnsi="Arial" w:cs="Arial"/>
          <w:color w:val="000000" w:themeColor="text1"/>
          <w:sz w:val="24"/>
          <w:szCs w:val="24"/>
        </w:rPr>
        <w:t>2</w:t>
      </w:r>
      <w:r>
        <w:rPr>
          <w:rFonts w:ascii="Arial" w:hAnsi="Arial" w:cs="Arial"/>
          <w:color w:val="000000" w:themeColor="text1"/>
          <w:sz w:val="24"/>
          <w:szCs w:val="24"/>
        </w:rPr>
        <w:t>%</w:t>
      </w:r>
      <w:r w:rsidR="00135489">
        <w:rPr>
          <w:rFonts w:ascii="Arial" w:hAnsi="Arial" w:cs="Arial"/>
          <w:color w:val="000000" w:themeColor="text1"/>
          <w:sz w:val="24"/>
          <w:szCs w:val="24"/>
        </w:rPr>
        <w:t xml:space="preserve">). De las cuales </w:t>
      </w:r>
      <w:r w:rsidR="00A25C7F">
        <w:rPr>
          <w:rFonts w:ascii="Arial" w:hAnsi="Arial" w:cs="Arial"/>
          <w:color w:val="000000" w:themeColor="text1"/>
          <w:sz w:val="24"/>
          <w:szCs w:val="24"/>
        </w:rPr>
        <w:t>1.219</w:t>
      </w:r>
      <w:r w:rsidR="00B822E6">
        <w:rPr>
          <w:rFonts w:ascii="Arial" w:hAnsi="Arial" w:cs="Arial"/>
          <w:color w:val="000000" w:themeColor="text1"/>
          <w:sz w:val="24"/>
          <w:szCs w:val="24"/>
        </w:rPr>
        <w:t xml:space="preserve"> </w:t>
      </w:r>
      <w:r w:rsidR="005C2B87">
        <w:rPr>
          <w:rFonts w:ascii="Arial" w:hAnsi="Arial" w:cs="Arial"/>
          <w:color w:val="000000" w:themeColor="text1"/>
          <w:sz w:val="24"/>
          <w:szCs w:val="24"/>
        </w:rPr>
        <w:t>(</w:t>
      </w:r>
      <w:r w:rsidR="00537BF2" w:rsidRPr="00537BF2">
        <w:rPr>
          <w:rFonts w:ascii="Arial" w:hAnsi="Arial" w:cs="Arial"/>
          <w:color w:val="000000" w:themeColor="text1"/>
          <w:sz w:val="24"/>
          <w:szCs w:val="24"/>
        </w:rPr>
        <w:t>59,6</w:t>
      </w:r>
      <w:r w:rsidR="00537BF2">
        <w:rPr>
          <w:rFonts w:ascii="Arial" w:hAnsi="Arial" w:cs="Arial"/>
          <w:color w:val="000000" w:themeColor="text1"/>
          <w:sz w:val="24"/>
          <w:szCs w:val="24"/>
        </w:rPr>
        <w:t>7</w:t>
      </w:r>
      <w:r w:rsidR="005C2B87">
        <w:rPr>
          <w:rFonts w:ascii="Arial" w:hAnsi="Arial" w:cs="Arial"/>
          <w:color w:val="000000" w:themeColor="text1"/>
          <w:sz w:val="24"/>
          <w:szCs w:val="24"/>
        </w:rPr>
        <w:t xml:space="preserve">%) </w:t>
      </w:r>
      <w:r w:rsidR="00CC7563" w:rsidRPr="00DF7866">
        <w:rPr>
          <w:rFonts w:ascii="Arial" w:hAnsi="Arial" w:cs="Arial"/>
          <w:color w:val="000000" w:themeColor="text1"/>
          <w:sz w:val="24"/>
          <w:szCs w:val="24"/>
        </w:rPr>
        <w:t>se solucionaron de manera oportuna</w:t>
      </w:r>
      <w:r w:rsidR="00B822E6">
        <w:rPr>
          <w:rFonts w:ascii="Arial" w:hAnsi="Arial" w:cs="Arial"/>
          <w:color w:val="000000" w:themeColor="text1"/>
          <w:sz w:val="24"/>
          <w:szCs w:val="24"/>
        </w:rPr>
        <w:t xml:space="preserve">, 204 </w:t>
      </w:r>
      <w:r w:rsidR="002E5E7D">
        <w:rPr>
          <w:rFonts w:ascii="Arial" w:hAnsi="Arial" w:cs="Arial"/>
          <w:color w:val="000000" w:themeColor="text1"/>
          <w:sz w:val="24"/>
          <w:szCs w:val="24"/>
        </w:rPr>
        <w:t>(</w:t>
      </w:r>
      <w:r w:rsidR="00EA23D3" w:rsidRPr="00EA23D3">
        <w:rPr>
          <w:rFonts w:ascii="Arial" w:hAnsi="Arial" w:cs="Arial"/>
          <w:color w:val="000000" w:themeColor="text1"/>
          <w:sz w:val="24"/>
          <w:szCs w:val="24"/>
        </w:rPr>
        <w:t>9,9</w:t>
      </w:r>
      <w:r w:rsidR="00EA23D3">
        <w:rPr>
          <w:rFonts w:ascii="Arial" w:hAnsi="Arial" w:cs="Arial"/>
          <w:color w:val="000000" w:themeColor="text1"/>
          <w:sz w:val="24"/>
          <w:szCs w:val="24"/>
        </w:rPr>
        <w:t>9</w:t>
      </w:r>
      <w:r w:rsidR="002E5E7D">
        <w:rPr>
          <w:rFonts w:ascii="Arial" w:hAnsi="Arial" w:cs="Arial"/>
          <w:color w:val="000000" w:themeColor="text1"/>
          <w:sz w:val="24"/>
          <w:szCs w:val="24"/>
        </w:rPr>
        <w:t xml:space="preserve">%) </w:t>
      </w:r>
      <w:r w:rsidR="00CC7563" w:rsidRPr="00DF7866">
        <w:rPr>
          <w:rFonts w:ascii="Arial" w:hAnsi="Arial" w:cs="Arial"/>
          <w:color w:val="000000" w:themeColor="text1"/>
          <w:sz w:val="24"/>
          <w:szCs w:val="24"/>
        </w:rPr>
        <w:t xml:space="preserve">se generó </w:t>
      </w:r>
      <w:r w:rsidR="00B822E6">
        <w:rPr>
          <w:rFonts w:ascii="Arial" w:hAnsi="Arial" w:cs="Arial"/>
          <w:color w:val="000000" w:themeColor="text1"/>
          <w:sz w:val="24"/>
          <w:szCs w:val="24"/>
        </w:rPr>
        <w:t xml:space="preserve">una respuesta </w:t>
      </w:r>
      <w:r w:rsidR="00CC7563" w:rsidRPr="00DF7866">
        <w:rPr>
          <w:rFonts w:ascii="Arial" w:hAnsi="Arial" w:cs="Arial"/>
          <w:color w:val="000000" w:themeColor="text1"/>
          <w:sz w:val="24"/>
          <w:szCs w:val="24"/>
        </w:rPr>
        <w:t>de manera inoportuna, ósea por fuera de los tiempos que determina la Ley</w:t>
      </w:r>
      <w:r w:rsidR="00B822E6">
        <w:rPr>
          <w:rFonts w:ascii="Arial" w:hAnsi="Arial" w:cs="Arial"/>
          <w:color w:val="000000" w:themeColor="text1"/>
          <w:sz w:val="24"/>
          <w:szCs w:val="24"/>
        </w:rPr>
        <w:t xml:space="preserve">; y 620 </w:t>
      </w:r>
      <w:r w:rsidR="00ED1804">
        <w:rPr>
          <w:rFonts w:ascii="Arial" w:hAnsi="Arial" w:cs="Arial"/>
          <w:color w:val="000000" w:themeColor="text1"/>
          <w:sz w:val="24"/>
          <w:szCs w:val="24"/>
        </w:rPr>
        <w:t>(</w:t>
      </w:r>
      <w:r w:rsidR="000C727E" w:rsidRPr="000C727E">
        <w:rPr>
          <w:rFonts w:ascii="Arial" w:hAnsi="Arial" w:cs="Arial"/>
          <w:color w:val="000000" w:themeColor="text1"/>
          <w:sz w:val="24"/>
          <w:szCs w:val="24"/>
        </w:rPr>
        <w:t>30,3</w:t>
      </w:r>
      <w:r w:rsidR="000C727E">
        <w:rPr>
          <w:rFonts w:ascii="Arial" w:hAnsi="Arial" w:cs="Arial"/>
          <w:color w:val="000000" w:themeColor="text1"/>
          <w:sz w:val="24"/>
          <w:szCs w:val="24"/>
        </w:rPr>
        <w:t>4</w:t>
      </w:r>
      <w:r w:rsidR="00ED1804">
        <w:rPr>
          <w:rFonts w:ascii="Arial" w:hAnsi="Arial" w:cs="Arial"/>
          <w:color w:val="000000" w:themeColor="text1"/>
          <w:sz w:val="24"/>
          <w:szCs w:val="24"/>
        </w:rPr>
        <w:t xml:space="preserve">%) </w:t>
      </w:r>
      <w:r w:rsidR="00CC7563" w:rsidRPr="00DF7866">
        <w:rPr>
          <w:rFonts w:ascii="Arial" w:hAnsi="Arial" w:cs="Arial"/>
          <w:color w:val="000000" w:themeColor="text1"/>
          <w:sz w:val="24"/>
          <w:szCs w:val="24"/>
        </w:rPr>
        <w:t xml:space="preserve">se </w:t>
      </w:r>
      <w:r w:rsidR="00B822E6">
        <w:rPr>
          <w:rFonts w:ascii="Arial" w:hAnsi="Arial" w:cs="Arial"/>
          <w:color w:val="000000" w:themeColor="text1"/>
          <w:sz w:val="24"/>
          <w:szCs w:val="24"/>
        </w:rPr>
        <w:t xml:space="preserve">respondieron </w:t>
      </w:r>
      <w:r w:rsidR="00CC7563" w:rsidRPr="00DF7866">
        <w:rPr>
          <w:rFonts w:ascii="Arial" w:hAnsi="Arial" w:cs="Arial"/>
          <w:color w:val="000000" w:themeColor="text1"/>
          <w:sz w:val="24"/>
          <w:szCs w:val="24"/>
        </w:rPr>
        <w:t xml:space="preserve">de </w:t>
      </w:r>
      <w:r w:rsidR="00B822E6">
        <w:rPr>
          <w:rFonts w:ascii="Arial" w:hAnsi="Arial" w:cs="Arial"/>
          <w:color w:val="000000" w:themeColor="text1"/>
          <w:sz w:val="24"/>
          <w:szCs w:val="24"/>
        </w:rPr>
        <w:t xml:space="preserve">manera </w:t>
      </w:r>
      <w:r w:rsidR="00CC7563" w:rsidRPr="00DF7866">
        <w:rPr>
          <w:rFonts w:ascii="Arial" w:hAnsi="Arial" w:cs="Arial"/>
          <w:color w:val="000000" w:themeColor="text1"/>
          <w:sz w:val="24"/>
          <w:szCs w:val="24"/>
        </w:rPr>
        <w:t>anticipada, así la fecha de respuesta determinara que su solución debería ser en el(los) siguiente(s) mes(es)</w:t>
      </w:r>
      <w:r w:rsidR="00B822E6">
        <w:rPr>
          <w:rFonts w:ascii="Arial" w:hAnsi="Arial" w:cs="Arial"/>
          <w:color w:val="000000" w:themeColor="text1"/>
          <w:sz w:val="24"/>
          <w:szCs w:val="24"/>
        </w:rPr>
        <w:t xml:space="preserve"> a su presentación.</w:t>
      </w:r>
    </w:p>
    <w:p w:rsidR="00B822E6" w:rsidRDefault="00B822E6" w:rsidP="00EF1BFD">
      <w:pPr>
        <w:spacing w:after="0" w:line="240" w:lineRule="auto"/>
        <w:jc w:val="both"/>
        <w:rPr>
          <w:rFonts w:ascii="Arial" w:hAnsi="Arial" w:cs="Arial"/>
          <w:color w:val="000000" w:themeColor="text1"/>
          <w:sz w:val="24"/>
          <w:szCs w:val="24"/>
        </w:rPr>
      </w:pPr>
    </w:p>
    <w:p w:rsidR="00CC7563" w:rsidRPr="00BF4131" w:rsidRDefault="00CC7563" w:rsidP="00EF1BFD">
      <w:pPr>
        <w:spacing w:after="0" w:line="240" w:lineRule="auto"/>
        <w:jc w:val="both"/>
        <w:rPr>
          <w:rFonts w:ascii="Arial" w:hAnsi="Arial" w:cs="Arial"/>
          <w:color w:val="000000" w:themeColor="text1"/>
          <w:sz w:val="24"/>
          <w:szCs w:val="24"/>
        </w:rPr>
      </w:pPr>
      <w:r w:rsidRPr="00CB3ECE">
        <w:rPr>
          <w:rFonts w:ascii="Arial" w:hAnsi="Arial" w:cs="Arial"/>
          <w:color w:val="000000" w:themeColor="text1"/>
          <w:sz w:val="24"/>
          <w:szCs w:val="24"/>
        </w:rPr>
        <w:t xml:space="preserve">En la siguiente tabla (No. </w:t>
      </w:r>
      <w:r w:rsidR="004C4B37" w:rsidRPr="00CB3ECE">
        <w:rPr>
          <w:rFonts w:ascii="Arial" w:hAnsi="Arial" w:cs="Arial"/>
          <w:color w:val="000000" w:themeColor="text1"/>
          <w:sz w:val="24"/>
          <w:szCs w:val="24"/>
        </w:rPr>
        <w:t>6</w:t>
      </w:r>
      <w:r w:rsidRPr="00CB3ECE">
        <w:rPr>
          <w:rFonts w:ascii="Arial" w:hAnsi="Arial" w:cs="Arial"/>
          <w:color w:val="000000" w:themeColor="text1"/>
          <w:sz w:val="24"/>
          <w:szCs w:val="24"/>
        </w:rPr>
        <w:t xml:space="preserve">), podemos observar que por el volumen de PQRSD recibidas versus las Solucionadas, la Dirección de </w:t>
      </w:r>
      <w:r w:rsidR="00CF026E" w:rsidRPr="00CB3ECE">
        <w:rPr>
          <w:rFonts w:ascii="Arial" w:hAnsi="Arial" w:cs="Arial"/>
          <w:color w:val="000000" w:themeColor="text1"/>
          <w:sz w:val="24"/>
          <w:szCs w:val="24"/>
        </w:rPr>
        <w:t>Urbanizaciones y Titulación</w:t>
      </w:r>
      <w:r w:rsidRPr="00CB3ECE">
        <w:rPr>
          <w:rFonts w:ascii="Arial" w:hAnsi="Arial" w:cs="Arial"/>
          <w:color w:val="000000" w:themeColor="text1"/>
          <w:sz w:val="24"/>
          <w:szCs w:val="24"/>
        </w:rPr>
        <w:t xml:space="preserve"> fue la dependencia con mejor porcentaje de respuesta, con un </w:t>
      </w:r>
      <w:r w:rsidR="00CF026E" w:rsidRPr="00CB3ECE">
        <w:rPr>
          <w:rFonts w:ascii="Arial" w:hAnsi="Arial" w:cs="Arial"/>
          <w:color w:val="000000" w:themeColor="text1"/>
          <w:sz w:val="24"/>
          <w:szCs w:val="24"/>
        </w:rPr>
        <w:t>9</w:t>
      </w:r>
      <w:r w:rsidR="00B7531D">
        <w:rPr>
          <w:rFonts w:ascii="Arial" w:hAnsi="Arial" w:cs="Arial"/>
          <w:color w:val="000000" w:themeColor="text1"/>
          <w:sz w:val="24"/>
          <w:szCs w:val="24"/>
        </w:rPr>
        <w:t>4</w:t>
      </w:r>
      <w:r w:rsidR="00CF026E" w:rsidRPr="00CB3ECE">
        <w:rPr>
          <w:rFonts w:ascii="Arial" w:hAnsi="Arial" w:cs="Arial"/>
          <w:color w:val="000000" w:themeColor="text1"/>
          <w:sz w:val="24"/>
          <w:szCs w:val="24"/>
        </w:rPr>
        <w:t>,</w:t>
      </w:r>
      <w:r w:rsidR="00B7531D">
        <w:rPr>
          <w:rFonts w:ascii="Arial" w:hAnsi="Arial" w:cs="Arial"/>
          <w:color w:val="000000" w:themeColor="text1"/>
          <w:sz w:val="24"/>
          <w:szCs w:val="24"/>
        </w:rPr>
        <w:t>99</w:t>
      </w:r>
      <w:r w:rsidRPr="00CB3ECE">
        <w:rPr>
          <w:rFonts w:ascii="Arial" w:hAnsi="Arial" w:cs="Arial"/>
          <w:color w:val="000000" w:themeColor="text1"/>
          <w:sz w:val="24"/>
          <w:szCs w:val="24"/>
        </w:rPr>
        <w:t>% (</w:t>
      </w:r>
      <w:r w:rsidR="00CF026E" w:rsidRPr="00CB3ECE">
        <w:rPr>
          <w:rFonts w:ascii="Arial" w:hAnsi="Arial" w:cs="Arial"/>
          <w:color w:val="000000" w:themeColor="text1"/>
          <w:sz w:val="24"/>
          <w:szCs w:val="24"/>
        </w:rPr>
        <w:t>6</w:t>
      </w:r>
      <w:r w:rsidR="00BD4CB8">
        <w:rPr>
          <w:rFonts w:ascii="Arial" w:hAnsi="Arial" w:cs="Arial"/>
          <w:color w:val="000000" w:themeColor="text1"/>
          <w:sz w:val="24"/>
          <w:szCs w:val="24"/>
        </w:rPr>
        <w:t>83</w:t>
      </w:r>
      <w:r w:rsidRPr="00CB3ECE">
        <w:rPr>
          <w:rFonts w:ascii="Arial" w:hAnsi="Arial" w:cs="Arial"/>
          <w:color w:val="000000" w:themeColor="text1"/>
          <w:sz w:val="24"/>
          <w:szCs w:val="24"/>
        </w:rPr>
        <w:t xml:space="preserve">). De las cuales el </w:t>
      </w:r>
      <w:r w:rsidR="006E325C" w:rsidRPr="006E325C">
        <w:rPr>
          <w:rFonts w:ascii="Arial" w:hAnsi="Arial" w:cs="Arial"/>
          <w:color w:val="000000" w:themeColor="text1"/>
          <w:sz w:val="24"/>
          <w:szCs w:val="24"/>
        </w:rPr>
        <w:t>56,8</w:t>
      </w:r>
      <w:r w:rsidR="006E325C">
        <w:rPr>
          <w:rFonts w:ascii="Arial" w:hAnsi="Arial" w:cs="Arial"/>
          <w:color w:val="000000" w:themeColor="text1"/>
          <w:sz w:val="24"/>
          <w:szCs w:val="24"/>
        </w:rPr>
        <w:t>1</w:t>
      </w:r>
      <w:r w:rsidR="00CB3ECE">
        <w:rPr>
          <w:rFonts w:ascii="Arial" w:hAnsi="Arial" w:cs="Arial"/>
          <w:color w:val="000000" w:themeColor="text1"/>
          <w:sz w:val="24"/>
          <w:szCs w:val="24"/>
        </w:rPr>
        <w:t>%</w:t>
      </w:r>
      <w:r w:rsidR="00CB3ECE" w:rsidRPr="00CB3ECE">
        <w:rPr>
          <w:rFonts w:ascii="Arial" w:hAnsi="Arial" w:cs="Arial"/>
          <w:color w:val="000000" w:themeColor="text1"/>
          <w:sz w:val="24"/>
          <w:szCs w:val="24"/>
        </w:rPr>
        <w:t xml:space="preserve"> </w:t>
      </w:r>
      <w:r w:rsidR="003D6DE6" w:rsidRPr="00CB3ECE">
        <w:rPr>
          <w:rFonts w:ascii="Arial" w:hAnsi="Arial" w:cs="Arial"/>
          <w:color w:val="000000" w:themeColor="text1"/>
          <w:sz w:val="24"/>
          <w:szCs w:val="24"/>
        </w:rPr>
        <w:t>(</w:t>
      </w:r>
      <w:r w:rsidR="006E325C">
        <w:rPr>
          <w:rFonts w:ascii="Arial" w:hAnsi="Arial" w:cs="Arial"/>
          <w:color w:val="000000" w:themeColor="text1"/>
          <w:sz w:val="24"/>
          <w:szCs w:val="24"/>
        </w:rPr>
        <w:t>388</w:t>
      </w:r>
      <w:r w:rsidRPr="00CB3ECE">
        <w:rPr>
          <w:rFonts w:ascii="Arial" w:hAnsi="Arial" w:cs="Arial"/>
          <w:color w:val="000000" w:themeColor="text1"/>
          <w:sz w:val="24"/>
          <w:szCs w:val="24"/>
        </w:rPr>
        <w:t>) fueron solucionadas oportunamente</w:t>
      </w:r>
      <w:r w:rsidR="00CB3ECE" w:rsidRPr="00CB3ECE">
        <w:rPr>
          <w:rFonts w:ascii="Arial" w:hAnsi="Arial" w:cs="Arial"/>
          <w:color w:val="000000" w:themeColor="text1"/>
          <w:sz w:val="24"/>
          <w:szCs w:val="24"/>
        </w:rPr>
        <w:t xml:space="preserve">, </w:t>
      </w:r>
      <w:r w:rsidRPr="00CB3ECE">
        <w:rPr>
          <w:rFonts w:ascii="Arial" w:hAnsi="Arial" w:cs="Arial"/>
          <w:color w:val="000000" w:themeColor="text1"/>
          <w:sz w:val="24"/>
          <w:szCs w:val="24"/>
        </w:rPr>
        <w:t xml:space="preserve">el </w:t>
      </w:r>
      <w:r w:rsidR="006E325C" w:rsidRPr="006E325C">
        <w:rPr>
          <w:rFonts w:ascii="Arial" w:hAnsi="Arial" w:cs="Arial"/>
          <w:color w:val="000000" w:themeColor="text1"/>
          <w:sz w:val="24"/>
          <w:szCs w:val="24"/>
        </w:rPr>
        <w:t>9,8</w:t>
      </w:r>
      <w:r w:rsidR="006E325C">
        <w:rPr>
          <w:rFonts w:ascii="Arial" w:hAnsi="Arial" w:cs="Arial"/>
          <w:color w:val="000000" w:themeColor="text1"/>
          <w:sz w:val="24"/>
          <w:szCs w:val="24"/>
        </w:rPr>
        <w:t>1</w:t>
      </w:r>
      <w:r w:rsidRPr="00CB3ECE">
        <w:rPr>
          <w:rFonts w:ascii="Arial" w:hAnsi="Arial" w:cs="Arial"/>
          <w:color w:val="000000" w:themeColor="text1"/>
          <w:sz w:val="24"/>
          <w:szCs w:val="24"/>
        </w:rPr>
        <w:t>% (</w:t>
      </w:r>
      <w:r w:rsidR="00CB3ECE" w:rsidRPr="00CB3ECE">
        <w:rPr>
          <w:rFonts w:ascii="Arial" w:hAnsi="Arial" w:cs="Arial"/>
          <w:color w:val="000000" w:themeColor="text1"/>
          <w:sz w:val="24"/>
          <w:szCs w:val="24"/>
        </w:rPr>
        <w:t>67</w:t>
      </w:r>
      <w:r w:rsidRPr="00CB3ECE">
        <w:rPr>
          <w:rFonts w:ascii="Arial" w:hAnsi="Arial" w:cs="Arial"/>
          <w:color w:val="000000" w:themeColor="text1"/>
          <w:sz w:val="24"/>
          <w:szCs w:val="24"/>
        </w:rPr>
        <w:t xml:space="preserve">) </w:t>
      </w:r>
      <w:r w:rsidR="00CB3ECE" w:rsidRPr="00CB3ECE">
        <w:rPr>
          <w:rFonts w:ascii="Arial" w:hAnsi="Arial" w:cs="Arial"/>
          <w:color w:val="000000" w:themeColor="text1"/>
          <w:sz w:val="24"/>
          <w:szCs w:val="24"/>
        </w:rPr>
        <w:t xml:space="preserve">se solucionaron </w:t>
      </w:r>
      <w:r w:rsidRPr="00CB3ECE">
        <w:rPr>
          <w:rFonts w:ascii="Arial" w:hAnsi="Arial" w:cs="Arial"/>
          <w:color w:val="000000" w:themeColor="text1"/>
          <w:sz w:val="24"/>
          <w:szCs w:val="24"/>
        </w:rPr>
        <w:t>por fuera de los tiempos que determina la Ley</w:t>
      </w:r>
      <w:r w:rsidR="00CB3ECE" w:rsidRPr="00CB3ECE">
        <w:rPr>
          <w:rFonts w:ascii="Arial" w:hAnsi="Arial" w:cs="Arial"/>
          <w:color w:val="000000" w:themeColor="text1"/>
          <w:sz w:val="24"/>
          <w:szCs w:val="24"/>
        </w:rPr>
        <w:t xml:space="preserve">; y por último, el </w:t>
      </w:r>
      <w:r w:rsidR="006E325C" w:rsidRPr="006E325C">
        <w:rPr>
          <w:rFonts w:ascii="Arial" w:hAnsi="Arial" w:cs="Arial"/>
          <w:color w:val="000000" w:themeColor="text1"/>
          <w:sz w:val="24"/>
          <w:szCs w:val="24"/>
        </w:rPr>
        <w:t>33,38</w:t>
      </w:r>
      <w:r w:rsidR="00CB3ECE" w:rsidRPr="00CB3ECE">
        <w:rPr>
          <w:rFonts w:ascii="Arial" w:hAnsi="Arial" w:cs="Arial"/>
          <w:color w:val="000000" w:themeColor="text1"/>
          <w:sz w:val="24"/>
          <w:szCs w:val="24"/>
        </w:rPr>
        <w:t xml:space="preserve">% (228) </w:t>
      </w:r>
      <w:r w:rsidR="00CB3ECE" w:rsidRPr="00DF7866">
        <w:rPr>
          <w:rFonts w:ascii="Arial" w:hAnsi="Arial" w:cs="Arial"/>
          <w:color w:val="000000" w:themeColor="text1"/>
          <w:sz w:val="24"/>
          <w:szCs w:val="24"/>
        </w:rPr>
        <w:t xml:space="preserve">se </w:t>
      </w:r>
      <w:r w:rsidR="00CB3ECE">
        <w:rPr>
          <w:rFonts w:ascii="Arial" w:hAnsi="Arial" w:cs="Arial"/>
          <w:color w:val="000000" w:themeColor="text1"/>
          <w:sz w:val="24"/>
          <w:szCs w:val="24"/>
        </w:rPr>
        <w:t xml:space="preserve">respondieron </w:t>
      </w:r>
      <w:r w:rsidR="00CB3ECE" w:rsidRPr="00DF7866">
        <w:rPr>
          <w:rFonts w:ascii="Arial" w:hAnsi="Arial" w:cs="Arial"/>
          <w:color w:val="000000" w:themeColor="text1"/>
          <w:sz w:val="24"/>
          <w:szCs w:val="24"/>
        </w:rPr>
        <w:t xml:space="preserve">de </w:t>
      </w:r>
      <w:r w:rsidR="00CB3ECE">
        <w:rPr>
          <w:rFonts w:ascii="Arial" w:hAnsi="Arial" w:cs="Arial"/>
          <w:color w:val="000000" w:themeColor="text1"/>
          <w:sz w:val="24"/>
          <w:szCs w:val="24"/>
        </w:rPr>
        <w:t xml:space="preserve">manera </w:t>
      </w:r>
      <w:r w:rsidR="00CB3ECE" w:rsidRPr="00DF7866">
        <w:rPr>
          <w:rFonts w:ascii="Arial" w:hAnsi="Arial" w:cs="Arial"/>
          <w:color w:val="000000" w:themeColor="text1"/>
          <w:sz w:val="24"/>
          <w:szCs w:val="24"/>
        </w:rPr>
        <w:t>anticipada</w:t>
      </w:r>
      <w:r w:rsidR="00F54F46">
        <w:rPr>
          <w:rFonts w:ascii="Arial" w:hAnsi="Arial" w:cs="Arial"/>
          <w:color w:val="000000" w:themeColor="text1"/>
          <w:sz w:val="24"/>
          <w:szCs w:val="24"/>
        </w:rPr>
        <w:t>.</w:t>
      </w:r>
    </w:p>
    <w:p w:rsidR="000233F5" w:rsidRPr="00CB3ECE" w:rsidRDefault="000233F5" w:rsidP="00EF1BFD">
      <w:pPr>
        <w:spacing w:after="0" w:line="240" w:lineRule="auto"/>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C74E01" w:rsidRPr="004D45C3"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E564EA" w:rsidRDefault="00C74E01" w:rsidP="00EF1BFD">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5A6C45">
              <w:rPr>
                <w:rFonts w:ascii="Arial" w:hAnsi="Arial" w:cs="Arial"/>
                <w:sz w:val="20"/>
                <w:szCs w:val="20"/>
                <w:lang w:val="es-ES"/>
              </w:rPr>
              <w:t>6</w:t>
            </w:r>
            <w:r w:rsidRPr="00757B76">
              <w:rPr>
                <w:rFonts w:ascii="Arial" w:hAnsi="Arial" w:cs="Arial"/>
                <w:sz w:val="20"/>
                <w:szCs w:val="20"/>
                <w:lang w:val="es-ES"/>
              </w:rPr>
              <w:t xml:space="preserve"> – PQRSD CERRADAS PRESENTADAS EN EL PERÍODO ACTUAL</w:t>
            </w:r>
          </w:p>
        </w:tc>
      </w:tr>
      <w:tr w:rsidR="00C74E01" w:rsidRPr="004D45C3" w:rsidTr="00B01B82">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4D45C3" w:rsidRDefault="00C74E01" w:rsidP="00EF1BFD">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E564EA"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A909E6" w:rsidRDefault="00764B84"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832</w:t>
            </w:r>
          </w:p>
        </w:tc>
        <w:tc>
          <w:tcPr>
            <w:tcW w:w="1843" w:type="dxa"/>
            <w:tcBorders>
              <w:top w:val="single" w:sz="4" w:space="0" w:color="DBE5F1" w:themeColor="accent1" w:themeTint="33"/>
            </w:tcBorders>
            <w:noWrap/>
            <w:vAlign w:val="center"/>
          </w:tcPr>
          <w:p w:rsidR="00A909E6" w:rsidRPr="008435C4" w:rsidRDefault="00CB05F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754</w:t>
            </w:r>
          </w:p>
        </w:tc>
        <w:tc>
          <w:tcPr>
            <w:tcW w:w="1583" w:type="dxa"/>
            <w:tcBorders>
              <w:top w:val="single" w:sz="4" w:space="0" w:color="DBE5F1" w:themeColor="accent1" w:themeTint="33"/>
            </w:tcBorders>
            <w:noWrap/>
            <w:vAlign w:val="center"/>
          </w:tcPr>
          <w:p w:rsidR="00A909E6" w:rsidRPr="008435C4" w:rsidRDefault="003C449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C4496">
              <w:rPr>
                <w:rFonts w:ascii="Arial" w:eastAsia="Times New Roman" w:hAnsi="Arial" w:cs="Arial"/>
                <w:color w:val="000000"/>
                <w:sz w:val="20"/>
                <w:szCs w:val="20"/>
                <w:lang w:eastAsia="es-CO"/>
              </w:rPr>
              <w:t>90,6</w:t>
            </w:r>
            <w:r>
              <w:rPr>
                <w:rFonts w:ascii="Arial" w:eastAsia="Times New Roman" w:hAnsi="Arial" w:cs="Arial"/>
                <w:color w:val="000000"/>
                <w:sz w:val="20"/>
                <w:szCs w:val="20"/>
                <w:lang w:eastAsia="es-CO"/>
              </w:rPr>
              <w:t>3%</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A909E6" w:rsidRPr="004E7B20" w:rsidRDefault="00764B84"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719</w:t>
            </w:r>
          </w:p>
        </w:tc>
        <w:tc>
          <w:tcPr>
            <w:tcW w:w="1843" w:type="dxa"/>
            <w:tcBorders>
              <w:top w:val="single" w:sz="4" w:space="0" w:color="DBE5F1" w:themeColor="accent1" w:themeTint="33"/>
            </w:tcBorders>
            <w:noWrap/>
            <w:vAlign w:val="center"/>
          </w:tcPr>
          <w:p w:rsidR="00A909E6" w:rsidRPr="008435C4" w:rsidRDefault="00CB05F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683</w:t>
            </w:r>
          </w:p>
        </w:tc>
        <w:tc>
          <w:tcPr>
            <w:tcW w:w="1583" w:type="dxa"/>
            <w:tcBorders>
              <w:top w:val="single" w:sz="4" w:space="0" w:color="DBE5F1" w:themeColor="accent1" w:themeTint="33"/>
            </w:tcBorders>
            <w:noWrap/>
            <w:vAlign w:val="center"/>
          </w:tcPr>
          <w:p w:rsidR="00A909E6" w:rsidRDefault="003C449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3C4496">
              <w:rPr>
                <w:rFonts w:ascii="Arial" w:eastAsia="Times New Roman" w:hAnsi="Arial" w:cs="Arial"/>
                <w:color w:val="000000"/>
                <w:sz w:val="20"/>
                <w:szCs w:val="20"/>
                <w:lang w:eastAsia="es-CO"/>
              </w:rPr>
              <w:t>94,99</w:t>
            </w:r>
            <w:r>
              <w:rPr>
                <w:rFonts w:ascii="Arial" w:eastAsia="Times New Roman" w:hAnsi="Arial" w:cs="Arial"/>
                <w:color w:val="000000"/>
                <w:sz w:val="20"/>
                <w:szCs w:val="20"/>
                <w:lang w:eastAsia="es-CO"/>
              </w:rPr>
              <w:t>%</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A909E6" w:rsidRDefault="00764B84"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312</w:t>
            </w:r>
          </w:p>
        </w:tc>
        <w:tc>
          <w:tcPr>
            <w:tcW w:w="1843" w:type="dxa"/>
            <w:tcBorders>
              <w:top w:val="single" w:sz="4" w:space="0" w:color="DBE5F1" w:themeColor="accent1" w:themeTint="33"/>
            </w:tcBorders>
            <w:noWrap/>
            <w:vAlign w:val="center"/>
          </w:tcPr>
          <w:p w:rsidR="00A909E6" w:rsidRPr="008435C4" w:rsidRDefault="00CB05F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297</w:t>
            </w:r>
          </w:p>
        </w:tc>
        <w:tc>
          <w:tcPr>
            <w:tcW w:w="1583" w:type="dxa"/>
            <w:tcBorders>
              <w:top w:val="single" w:sz="4" w:space="0" w:color="DBE5F1" w:themeColor="accent1" w:themeTint="33"/>
            </w:tcBorders>
            <w:noWrap/>
            <w:vAlign w:val="center"/>
          </w:tcPr>
          <w:p w:rsidR="00A909E6" w:rsidRDefault="003C449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3C4496">
              <w:rPr>
                <w:rFonts w:ascii="Arial" w:eastAsia="Times New Roman" w:hAnsi="Arial" w:cs="Arial"/>
                <w:color w:val="000000"/>
                <w:sz w:val="20"/>
                <w:szCs w:val="20"/>
                <w:lang w:eastAsia="es-CO"/>
              </w:rPr>
              <w:t>95,19</w:t>
            </w:r>
            <w:r>
              <w:rPr>
                <w:rFonts w:ascii="Arial" w:eastAsia="Times New Roman" w:hAnsi="Arial" w:cs="Arial"/>
                <w:color w:val="000000"/>
                <w:sz w:val="20"/>
                <w:szCs w:val="20"/>
                <w:lang w:eastAsia="es-CO"/>
              </w:rPr>
              <w:t>%</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A909E6" w:rsidRDefault="00764B84"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103</w:t>
            </w:r>
          </w:p>
        </w:tc>
        <w:tc>
          <w:tcPr>
            <w:tcW w:w="1843" w:type="dxa"/>
            <w:tcBorders>
              <w:top w:val="single" w:sz="4" w:space="0" w:color="DBE5F1" w:themeColor="accent1" w:themeTint="33"/>
            </w:tcBorders>
            <w:noWrap/>
            <w:vAlign w:val="center"/>
          </w:tcPr>
          <w:p w:rsidR="00A909E6" w:rsidRPr="008435C4" w:rsidRDefault="00CB05F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94</w:t>
            </w:r>
          </w:p>
        </w:tc>
        <w:tc>
          <w:tcPr>
            <w:tcW w:w="1583" w:type="dxa"/>
            <w:tcBorders>
              <w:top w:val="single" w:sz="4" w:space="0" w:color="DBE5F1" w:themeColor="accent1" w:themeTint="33"/>
            </w:tcBorders>
            <w:noWrap/>
            <w:vAlign w:val="center"/>
          </w:tcPr>
          <w:p w:rsidR="00A909E6" w:rsidRPr="008435C4" w:rsidRDefault="00CA381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A381F">
              <w:rPr>
                <w:rFonts w:ascii="Arial" w:eastAsia="Times New Roman" w:hAnsi="Arial" w:cs="Arial"/>
                <w:color w:val="000000"/>
                <w:sz w:val="20"/>
                <w:szCs w:val="20"/>
                <w:lang w:eastAsia="es-CO"/>
              </w:rPr>
              <w:t>91,26</w:t>
            </w:r>
          </w:p>
        </w:tc>
      </w:tr>
      <w:tr w:rsidR="00A909E6"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A909E6" w:rsidRDefault="00764B84"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73</w:t>
            </w:r>
          </w:p>
        </w:tc>
        <w:tc>
          <w:tcPr>
            <w:tcW w:w="1843" w:type="dxa"/>
            <w:tcBorders>
              <w:top w:val="single" w:sz="4" w:space="0" w:color="DBE5F1" w:themeColor="accent1" w:themeTint="33"/>
            </w:tcBorders>
            <w:noWrap/>
            <w:vAlign w:val="center"/>
          </w:tcPr>
          <w:p w:rsidR="00A909E6" w:rsidRDefault="00CB05F6"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72</w:t>
            </w:r>
          </w:p>
        </w:tc>
        <w:tc>
          <w:tcPr>
            <w:tcW w:w="1583" w:type="dxa"/>
            <w:tcBorders>
              <w:top w:val="single" w:sz="4" w:space="0" w:color="DBE5F1" w:themeColor="accent1" w:themeTint="33"/>
            </w:tcBorders>
            <w:noWrap/>
            <w:vAlign w:val="center"/>
          </w:tcPr>
          <w:p w:rsidR="00A909E6" w:rsidRPr="008435C4" w:rsidRDefault="00CA381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A381F">
              <w:rPr>
                <w:rFonts w:ascii="Arial" w:eastAsia="Times New Roman" w:hAnsi="Arial" w:cs="Arial"/>
                <w:color w:val="000000"/>
                <w:sz w:val="20"/>
                <w:szCs w:val="20"/>
                <w:lang w:eastAsia="es-CO"/>
              </w:rPr>
              <w:t>98,63</w:t>
            </w:r>
          </w:p>
        </w:tc>
      </w:tr>
      <w:tr w:rsidR="00A909E6"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A909E6" w:rsidRPr="00B01B82" w:rsidRDefault="00A909E6" w:rsidP="00EF1BFD">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lastRenderedPageBreak/>
              <w:t>Área de servicio a la ciudadanía</w:t>
            </w:r>
          </w:p>
        </w:tc>
        <w:tc>
          <w:tcPr>
            <w:tcW w:w="1985" w:type="dxa"/>
            <w:tcBorders>
              <w:top w:val="single" w:sz="4" w:space="0" w:color="DBE5F1" w:themeColor="accent1" w:themeTint="33"/>
            </w:tcBorders>
            <w:noWrap/>
            <w:vAlign w:val="center"/>
          </w:tcPr>
          <w:p w:rsidR="00A909E6" w:rsidRPr="008435C4" w:rsidRDefault="00764B84"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59</w:t>
            </w:r>
          </w:p>
        </w:tc>
        <w:tc>
          <w:tcPr>
            <w:tcW w:w="1843" w:type="dxa"/>
            <w:tcBorders>
              <w:top w:val="single" w:sz="4" w:space="0" w:color="DBE5F1" w:themeColor="accent1" w:themeTint="33"/>
            </w:tcBorders>
            <w:noWrap/>
            <w:vAlign w:val="center"/>
          </w:tcPr>
          <w:p w:rsidR="00A909E6" w:rsidRPr="008435C4" w:rsidRDefault="00CB05F6"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59</w:t>
            </w:r>
          </w:p>
        </w:tc>
        <w:tc>
          <w:tcPr>
            <w:tcW w:w="1583" w:type="dxa"/>
            <w:tcBorders>
              <w:top w:val="single" w:sz="4" w:space="0" w:color="DBE5F1" w:themeColor="accent1" w:themeTint="33"/>
            </w:tcBorders>
            <w:noWrap/>
            <w:vAlign w:val="center"/>
          </w:tcPr>
          <w:p w:rsidR="00A909E6" w:rsidRPr="008435C4" w:rsidRDefault="00CA381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C4534"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Pr="00A909E6" w:rsidRDefault="00DC4534" w:rsidP="00DC4534">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Dirección de gestión corporativa y cid</w:t>
            </w:r>
          </w:p>
        </w:tc>
        <w:tc>
          <w:tcPr>
            <w:tcW w:w="1985" w:type="dxa"/>
            <w:tcBorders>
              <w:top w:val="single" w:sz="4" w:space="0" w:color="DBE5F1" w:themeColor="accent1" w:themeTint="33"/>
            </w:tcBorders>
            <w:noWrap/>
            <w:vAlign w:val="center"/>
          </w:tcPr>
          <w:p w:rsidR="00DC4534" w:rsidRPr="00A909E6" w:rsidRDefault="00DC4534"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28</w:t>
            </w:r>
          </w:p>
        </w:tc>
        <w:tc>
          <w:tcPr>
            <w:tcW w:w="1843" w:type="dxa"/>
            <w:tcBorders>
              <w:top w:val="single" w:sz="4" w:space="0" w:color="DBE5F1" w:themeColor="accent1" w:themeTint="33"/>
            </w:tcBorders>
            <w:noWrap/>
            <w:vAlign w:val="center"/>
          </w:tcPr>
          <w:p w:rsidR="00DC4534" w:rsidRPr="008435C4" w:rsidRDefault="00CB05F6"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27</w:t>
            </w:r>
          </w:p>
        </w:tc>
        <w:tc>
          <w:tcPr>
            <w:tcW w:w="1583" w:type="dxa"/>
            <w:tcBorders>
              <w:top w:val="single" w:sz="4" w:space="0" w:color="DBE5F1" w:themeColor="accent1" w:themeTint="33"/>
            </w:tcBorders>
            <w:noWrap/>
            <w:vAlign w:val="center"/>
          </w:tcPr>
          <w:p w:rsidR="00DC4534" w:rsidRPr="008435C4" w:rsidRDefault="00CA381F"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A381F">
              <w:rPr>
                <w:rFonts w:ascii="Arial" w:eastAsia="Times New Roman" w:hAnsi="Arial" w:cs="Arial"/>
                <w:color w:val="000000"/>
                <w:sz w:val="20"/>
                <w:szCs w:val="20"/>
                <w:lang w:eastAsia="es-CO"/>
              </w:rPr>
              <w:t>96,4</w:t>
            </w:r>
            <w:r>
              <w:rPr>
                <w:rFonts w:ascii="Arial" w:eastAsia="Times New Roman" w:hAnsi="Arial" w:cs="Arial"/>
                <w:color w:val="000000"/>
                <w:sz w:val="20"/>
                <w:szCs w:val="20"/>
                <w:lang w:eastAsia="es-CO"/>
              </w:rPr>
              <w:t>3%</w:t>
            </w:r>
          </w:p>
        </w:tc>
      </w:tr>
      <w:tr w:rsidR="00DC4534"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Pr="00B01B82" w:rsidRDefault="00DC4534" w:rsidP="00DC4534">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w:t>
            </w:r>
          </w:p>
        </w:tc>
        <w:tc>
          <w:tcPr>
            <w:tcW w:w="1843" w:type="dxa"/>
            <w:tcBorders>
              <w:top w:val="single" w:sz="4" w:space="0" w:color="DBE5F1" w:themeColor="accent1" w:themeTint="33"/>
            </w:tcBorders>
            <w:noWrap/>
            <w:vAlign w:val="center"/>
          </w:tcPr>
          <w:p w:rsidR="00DC4534" w:rsidRDefault="00CB05F6"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4342F">
              <w:rPr>
                <w:rFonts w:ascii="Arial" w:eastAsia="Times New Roman" w:hAnsi="Arial" w:cs="Arial"/>
                <w:color w:val="000000"/>
                <w:sz w:val="20"/>
                <w:szCs w:val="20"/>
                <w:lang w:eastAsia="es-CO"/>
              </w:rPr>
              <w:t>95,65</w:t>
            </w:r>
          </w:p>
        </w:tc>
      </w:tr>
      <w:tr w:rsidR="00DC4534"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Default="00DC4534" w:rsidP="00DC4534">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 xml:space="preserve">Dirección Jurídica </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843" w:type="dxa"/>
            <w:tcBorders>
              <w:top w:val="single" w:sz="4" w:space="0" w:color="DBE5F1" w:themeColor="accent1" w:themeTint="33"/>
            </w:tcBorders>
            <w:noWrap/>
            <w:vAlign w:val="center"/>
          </w:tcPr>
          <w:p w:rsidR="00DC4534" w:rsidRDefault="00CB05F6"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C4534"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Default="00DC4534" w:rsidP="00DC4534">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843" w:type="dxa"/>
            <w:tcBorders>
              <w:top w:val="single" w:sz="4" w:space="0" w:color="DBE5F1" w:themeColor="accent1" w:themeTint="33"/>
            </w:tcBorders>
            <w:noWrap/>
            <w:vAlign w:val="center"/>
          </w:tcPr>
          <w:p w:rsidR="00DC4534" w:rsidRPr="00A909E6" w:rsidRDefault="00CB05F6"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C4534"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Pr="00B01B82" w:rsidRDefault="00DC4534" w:rsidP="00DC4534">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Oficina asesora de planeación</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DC4534" w:rsidRPr="00A909E6" w:rsidRDefault="00CB05F6"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50,00%</w:t>
            </w:r>
          </w:p>
        </w:tc>
      </w:tr>
      <w:tr w:rsidR="00DC4534"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Pr="00A909E6" w:rsidRDefault="00DC4534" w:rsidP="00DC4534">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rsidR="00DC4534" w:rsidRPr="00A909E6" w:rsidRDefault="00DC4534"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DC4534" w:rsidRPr="00A909E6" w:rsidRDefault="00CB05F6"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66,67%</w:t>
            </w:r>
          </w:p>
        </w:tc>
      </w:tr>
      <w:tr w:rsidR="00DC4534" w:rsidRPr="004D45C3" w:rsidTr="00B01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Default="00DC4534" w:rsidP="00DC4534">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Asesor de Control Interno</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DC4534" w:rsidRPr="00A909E6" w:rsidRDefault="00CB05F6"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C4534" w:rsidRPr="004D45C3" w:rsidTr="00B01B82">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DC4534" w:rsidRPr="00A909E6" w:rsidRDefault="00DC4534" w:rsidP="00DC4534">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TIC</w:t>
            </w:r>
          </w:p>
        </w:tc>
        <w:tc>
          <w:tcPr>
            <w:tcW w:w="1985" w:type="dxa"/>
            <w:tcBorders>
              <w:top w:val="single" w:sz="4" w:space="0" w:color="DBE5F1" w:themeColor="accent1" w:themeTint="33"/>
            </w:tcBorders>
            <w:noWrap/>
            <w:vAlign w:val="center"/>
          </w:tcPr>
          <w:p w:rsidR="00DC4534" w:rsidRDefault="00DC4534"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DC4534" w:rsidRPr="00A909E6" w:rsidRDefault="00CB05F6"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DC4534" w:rsidRDefault="0044342F" w:rsidP="00DC45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DC4534" w:rsidRPr="004D45C3" w:rsidTr="00B01B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C4534" w:rsidRPr="008435C4" w:rsidRDefault="00DC4534" w:rsidP="00DC4534">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DC4534" w:rsidRPr="008435C4" w:rsidRDefault="00DC4534"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2</w:t>
            </w:r>
            <w:r w:rsidR="00B74190">
              <w:rPr>
                <w:rFonts w:ascii="Arial" w:hAnsi="Arial" w:cs="Arial"/>
                <w:b/>
                <w:color w:val="000000"/>
                <w:sz w:val="20"/>
                <w:szCs w:val="20"/>
              </w:rPr>
              <w:t>.</w:t>
            </w:r>
            <w:r>
              <w:rPr>
                <w:rFonts w:ascii="Arial" w:hAnsi="Arial" w:cs="Arial"/>
                <w:b/>
                <w:color w:val="000000"/>
                <w:sz w:val="20"/>
                <w:szCs w:val="20"/>
              </w:rPr>
              <w:t>187</w:t>
            </w:r>
          </w:p>
        </w:tc>
        <w:tc>
          <w:tcPr>
            <w:tcW w:w="1843" w:type="dxa"/>
            <w:noWrap/>
            <w:vAlign w:val="center"/>
          </w:tcPr>
          <w:p w:rsidR="00DC4534" w:rsidRPr="008435C4" w:rsidRDefault="000233F5"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2.043</w:t>
            </w:r>
          </w:p>
        </w:tc>
        <w:tc>
          <w:tcPr>
            <w:tcW w:w="1583" w:type="dxa"/>
            <w:noWrap/>
            <w:vAlign w:val="center"/>
          </w:tcPr>
          <w:p w:rsidR="00DC4534" w:rsidRPr="0034008B" w:rsidRDefault="00C5451A" w:rsidP="00DC45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C5451A">
              <w:rPr>
                <w:rFonts w:ascii="Arial" w:hAnsi="Arial" w:cs="Arial"/>
                <w:b/>
                <w:color w:val="000000"/>
                <w:sz w:val="20"/>
                <w:szCs w:val="20"/>
              </w:rPr>
              <w:t>93,4</w:t>
            </w:r>
            <w:r>
              <w:rPr>
                <w:rFonts w:ascii="Arial" w:hAnsi="Arial" w:cs="Arial"/>
                <w:b/>
                <w:color w:val="000000"/>
                <w:sz w:val="20"/>
                <w:szCs w:val="20"/>
              </w:rPr>
              <w:t>2%</w:t>
            </w:r>
          </w:p>
        </w:tc>
      </w:tr>
    </w:tbl>
    <w:p w:rsidR="00BB7758" w:rsidRPr="007E2536" w:rsidRDefault="00BB7758"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B5B9E" w:rsidRDefault="00AB5B9E" w:rsidP="00EF1BFD">
      <w:pPr>
        <w:spacing w:after="0" w:line="240" w:lineRule="auto"/>
        <w:rPr>
          <w:rFonts w:ascii="Arial" w:hAnsi="Arial" w:cs="Arial"/>
          <w:sz w:val="24"/>
          <w:szCs w:val="24"/>
          <w:lang w:val="es-ES"/>
        </w:rPr>
      </w:pPr>
    </w:p>
    <w:p w:rsidR="000208E5" w:rsidRDefault="000208E5" w:rsidP="00EF1BFD">
      <w:pPr>
        <w:spacing w:after="0" w:line="240" w:lineRule="auto"/>
        <w:rPr>
          <w:rFonts w:ascii="Arial" w:hAnsi="Arial" w:cs="Arial"/>
          <w:sz w:val="24"/>
          <w:szCs w:val="24"/>
          <w:lang w:val="es-ES"/>
        </w:rPr>
      </w:pPr>
    </w:p>
    <w:p w:rsidR="00A2288C" w:rsidRPr="00083585" w:rsidRDefault="00A2288C" w:rsidP="00EF1BFD">
      <w:pPr>
        <w:pStyle w:val="Ttulo2"/>
        <w:spacing w:before="0" w:after="0" w:line="240" w:lineRule="auto"/>
      </w:pPr>
      <w:bookmarkStart w:id="28" w:name="_Toc3271540"/>
      <w:bookmarkStart w:id="29" w:name="_Toc6996653"/>
      <w:bookmarkStart w:id="30" w:name="_Toc11337903"/>
      <w:bookmarkStart w:id="31" w:name="_Toc16758376"/>
      <w:r w:rsidRPr="00083585">
        <w:t>PQRSD Cerradas Presentadas en los Periodo(s) Anterior(es)</w:t>
      </w:r>
      <w:bookmarkEnd w:id="28"/>
      <w:bookmarkEnd w:id="29"/>
      <w:bookmarkEnd w:id="30"/>
      <w:bookmarkEnd w:id="31"/>
      <w:r w:rsidRPr="00083585">
        <w:t xml:space="preserve"> </w:t>
      </w:r>
    </w:p>
    <w:p w:rsidR="00A2288C" w:rsidRDefault="00A2288C" w:rsidP="00EF1BFD">
      <w:pPr>
        <w:spacing w:after="0" w:line="240" w:lineRule="auto"/>
        <w:jc w:val="both"/>
        <w:rPr>
          <w:rFonts w:ascii="Arial" w:hAnsi="Arial" w:cs="Arial"/>
          <w:color w:val="000000" w:themeColor="text1"/>
          <w:sz w:val="24"/>
          <w:szCs w:val="24"/>
        </w:rPr>
      </w:pPr>
    </w:p>
    <w:p w:rsidR="00A2288C" w:rsidRPr="00DF7866" w:rsidRDefault="00A2288C"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 xml:space="preserve">l </w:t>
      </w:r>
      <w:r w:rsidR="00C47A75">
        <w:rPr>
          <w:rFonts w:ascii="Arial" w:hAnsi="Arial" w:cs="Arial"/>
          <w:color w:val="000000" w:themeColor="text1"/>
          <w:sz w:val="24"/>
          <w:szCs w:val="24"/>
        </w:rPr>
        <w:t xml:space="preserve">año 2018 se poseían 75 </w:t>
      </w:r>
      <w:r w:rsidR="001F0B1A">
        <w:rPr>
          <w:rFonts w:ascii="Arial" w:hAnsi="Arial" w:cs="Arial"/>
          <w:color w:val="000000" w:themeColor="text1"/>
          <w:sz w:val="24"/>
          <w:szCs w:val="24"/>
        </w:rPr>
        <w:t xml:space="preserve">(100%) </w:t>
      </w:r>
      <w:r w:rsidR="00C47A75">
        <w:rPr>
          <w:rFonts w:ascii="Arial" w:hAnsi="Arial" w:cs="Arial"/>
          <w:color w:val="000000" w:themeColor="text1"/>
          <w:sz w:val="24"/>
          <w:szCs w:val="24"/>
        </w:rPr>
        <w:t>PQRSD que se presentaron en diciembre, las cuales no fueron solucionadas en el mismo periodo o que tenían fecha de respuesta en ellos mes de enero o febrero de 2019.</w:t>
      </w:r>
      <w:r w:rsidRPr="00DF7866">
        <w:rPr>
          <w:rFonts w:ascii="Arial" w:hAnsi="Arial" w:cs="Arial"/>
          <w:color w:val="000000" w:themeColor="text1"/>
          <w:sz w:val="24"/>
          <w:szCs w:val="24"/>
        </w:rPr>
        <w:t xml:space="preserve"> De estas, </w:t>
      </w:r>
      <w:r w:rsidR="001F0B1A">
        <w:rPr>
          <w:rFonts w:ascii="Arial" w:hAnsi="Arial" w:cs="Arial"/>
          <w:color w:val="000000" w:themeColor="text1"/>
          <w:sz w:val="24"/>
          <w:szCs w:val="24"/>
        </w:rPr>
        <w:t>67</w:t>
      </w:r>
      <w:r w:rsidRPr="00DF7866">
        <w:rPr>
          <w:rFonts w:ascii="Arial" w:hAnsi="Arial" w:cs="Arial"/>
          <w:color w:val="000000" w:themeColor="text1"/>
          <w:sz w:val="24"/>
          <w:szCs w:val="24"/>
        </w:rPr>
        <w:t xml:space="preserve"> (</w:t>
      </w:r>
      <w:r w:rsidR="003E5230" w:rsidRPr="003E5230">
        <w:rPr>
          <w:rFonts w:ascii="Arial" w:hAnsi="Arial" w:cs="Arial"/>
          <w:color w:val="000000" w:themeColor="text1"/>
          <w:sz w:val="24"/>
          <w:szCs w:val="24"/>
        </w:rPr>
        <w:t>89,33</w:t>
      </w:r>
      <w:r w:rsidRPr="00DF7866">
        <w:rPr>
          <w:rFonts w:ascii="Arial" w:hAnsi="Arial" w:cs="Arial"/>
          <w:color w:val="000000" w:themeColor="text1"/>
          <w:sz w:val="24"/>
          <w:szCs w:val="24"/>
        </w:rPr>
        <w:t>%) se solucionaron de manera oportuna</w:t>
      </w:r>
      <w:r w:rsidR="00B44FCE">
        <w:rPr>
          <w:rFonts w:ascii="Arial" w:hAnsi="Arial" w:cs="Arial"/>
          <w:color w:val="000000" w:themeColor="text1"/>
          <w:sz w:val="24"/>
          <w:szCs w:val="24"/>
        </w:rPr>
        <w:t xml:space="preserve"> y tan solo</w:t>
      </w:r>
      <w:r>
        <w:rPr>
          <w:rFonts w:ascii="Arial" w:hAnsi="Arial" w:cs="Arial"/>
          <w:color w:val="000000" w:themeColor="text1"/>
          <w:sz w:val="24"/>
          <w:szCs w:val="24"/>
        </w:rPr>
        <w:t xml:space="preserve"> </w:t>
      </w:r>
      <w:r w:rsidR="001F0B1A">
        <w:rPr>
          <w:rFonts w:ascii="Arial" w:hAnsi="Arial" w:cs="Arial"/>
          <w:color w:val="000000" w:themeColor="text1"/>
          <w:sz w:val="24"/>
          <w:szCs w:val="24"/>
        </w:rPr>
        <w:t>8</w:t>
      </w:r>
      <w:r w:rsidRPr="00DF7866">
        <w:rPr>
          <w:rFonts w:ascii="Arial" w:hAnsi="Arial" w:cs="Arial"/>
          <w:color w:val="000000" w:themeColor="text1"/>
          <w:sz w:val="24"/>
          <w:szCs w:val="24"/>
        </w:rPr>
        <w:t xml:space="preserve"> (</w:t>
      </w:r>
      <w:r w:rsidR="003E5230" w:rsidRPr="003E5230">
        <w:rPr>
          <w:rFonts w:ascii="Arial" w:hAnsi="Arial" w:cs="Arial"/>
          <w:color w:val="000000" w:themeColor="text1"/>
          <w:sz w:val="24"/>
          <w:szCs w:val="24"/>
        </w:rPr>
        <w:t>10,6</w:t>
      </w:r>
      <w:r w:rsidR="003E5230">
        <w:rPr>
          <w:rFonts w:ascii="Arial" w:hAnsi="Arial" w:cs="Arial"/>
          <w:color w:val="000000" w:themeColor="text1"/>
          <w:sz w:val="24"/>
          <w:szCs w:val="24"/>
        </w:rPr>
        <w:t>7</w:t>
      </w:r>
      <w:r w:rsidRPr="00DF7866">
        <w:rPr>
          <w:rFonts w:ascii="Arial" w:hAnsi="Arial" w:cs="Arial"/>
          <w:color w:val="000000" w:themeColor="text1"/>
          <w:sz w:val="24"/>
          <w:szCs w:val="24"/>
        </w:rPr>
        <w:t>%) se resolvieron por fuera de los términos que establecer la Ley</w:t>
      </w:r>
      <w:r w:rsidR="00E4744F">
        <w:rPr>
          <w:rFonts w:ascii="Arial" w:hAnsi="Arial" w:cs="Arial"/>
          <w:color w:val="000000" w:themeColor="text1"/>
          <w:sz w:val="24"/>
          <w:szCs w:val="24"/>
        </w:rPr>
        <w:t>.</w:t>
      </w:r>
    </w:p>
    <w:p w:rsidR="000208E5" w:rsidRDefault="000208E5" w:rsidP="00EF1BFD">
      <w:pPr>
        <w:spacing w:after="0" w:line="240" w:lineRule="auto"/>
        <w:rPr>
          <w:rFonts w:ascii="Arial" w:hAnsi="Arial" w:cs="Arial"/>
          <w:sz w:val="24"/>
          <w:szCs w:val="24"/>
          <w:lang w:val="es-ES"/>
        </w:rPr>
      </w:pPr>
    </w:p>
    <w:tbl>
      <w:tblPr>
        <w:tblStyle w:val="Tabladecuadrcula4-nfasis11"/>
        <w:tblW w:w="9356" w:type="dxa"/>
        <w:tblInd w:w="108" w:type="dxa"/>
        <w:tblLayout w:type="fixed"/>
        <w:tblLook w:val="04A0" w:firstRow="1" w:lastRow="0" w:firstColumn="1" w:lastColumn="0" w:noHBand="0" w:noVBand="1"/>
      </w:tblPr>
      <w:tblGrid>
        <w:gridCol w:w="3936"/>
        <w:gridCol w:w="1734"/>
        <w:gridCol w:w="1701"/>
        <w:gridCol w:w="1985"/>
      </w:tblGrid>
      <w:tr w:rsidR="00A2288C" w:rsidRPr="00E81ED3" w:rsidTr="00940EEF">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2288C" w:rsidRPr="00E81ED3" w:rsidRDefault="00A2288C" w:rsidP="00EF1BFD">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sidR="00506AF1">
              <w:rPr>
                <w:rFonts w:ascii="Arial" w:hAnsi="Arial" w:cs="Arial"/>
                <w:sz w:val="20"/>
                <w:szCs w:val="20"/>
              </w:rPr>
              <w:t>7</w:t>
            </w:r>
            <w:r w:rsidRPr="00E81ED3">
              <w:rPr>
                <w:rFonts w:ascii="Arial" w:hAnsi="Arial" w:cs="Arial"/>
                <w:sz w:val="20"/>
                <w:szCs w:val="20"/>
              </w:rPr>
              <w:t xml:space="preserve"> - PQRSD CERRADAS PRESENTADAS EN LOS PERIODO(S) ANTERIOR</w:t>
            </w:r>
            <w:r w:rsidR="0067793B">
              <w:rPr>
                <w:rFonts w:ascii="Arial" w:hAnsi="Arial" w:cs="Arial"/>
                <w:sz w:val="20"/>
                <w:szCs w:val="20"/>
              </w:rPr>
              <w:t>(ES)</w:t>
            </w:r>
          </w:p>
        </w:tc>
      </w:tr>
      <w:tr w:rsidR="00A2288C" w:rsidRPr="00E81ED3" w:rsidTr="00940EEF">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A2288C" w:rsidRPr="00E81ED3" w:rsidRDefault="00A2288C" w:rsidP="00EF1BFD">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A2288C"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A2288C" w:rsidRPr="00AB5B9E" w:rsidRDefault="00AB5B9E"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34" w:type="dxa"/>
            <w:tcBorders>
              <w:top w:val="single" w:sz="4" w:space="0" w:color="DBE5F1" w:themeColor="accent1" w:themeTint="33"/>
            </w:tcBorders>
            <w:noWrap/>
            <w:vAlign w:val="center"/>
          </w:tcPr>
          <w:p w:rsidR="00A2288C"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34</w:t>
            </w:r>
          </w:p>
        </w:tc>
        <w:tc>
          <w:tcPr>
            <w:tcW w:w="1701" w:type="dxa"/>
            <w:tcBorders>
              <w:top w:val="single" w:sz="4" w:space="0" w:color="DBE5F1" w:themeColor="accent1" w:themeTint="33"/>
            </w:tcBorders>
            <w:noWrap/>
            <w:vAlign w:val="center"/>
          </w:tcPr>
          <w:p w:rsidR="00A2288C"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34</w:t>
            </w:r>
          </w:p>
        </w:tc>
        <w:tc>
          <w:tcPr>
            <w:tcW w:w="1985" w:type="dxa"/>
            <w:tcBorders>
              <w:top w:val="single" w:sz="4" w:space="0" w:color="DBE5F1" w:themeColor="accent1" w:themeTint="33"/>
            </w:tcBorders>
            <w:noWrap/>
            <w:vAlign w:val="center"/>
          </w:tcPr>
          <w:p w:rsidR="00A2288C"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34"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34"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lastRenderedPageBreak/>
              <w:t>Dirección de mejoramiento de barrios</w:t>
            </w:r>
          </w:p>
        </w:tc>
        <w:tc>
          <w:tcPr>
            <w:tcW w:w="1734"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hAnsi="Arial" w:cs="Arial"/>
                <w:b w:val="0"/>
                <w:color w:val="000000"/>
                <w:sz w:val="20"/>
                <w:szCs w:val="20"/>
              </w:rPr>
            </w:pPr>
            <w:r w:rsidRPr="00AB5B9E">
              <w:rPr>
                <w:rFonts w:ascii="Arial" w:hAnsi="Arial" w:cs="Arial"/>
                <w:b w:val="0"/>
                <w:color w:val="000000"/>
                <w:sz w:val="20"/>
                <w:szCs w:val="20"/>
              </w:rPr>
              <w:t>Subdirección financiera</w:t>
            </w:r>
          </w:p>
        </w:tc>
        <w:tc>
          <w:tcPr>
            <w:tcW w:w="1734" w:type="dxa"/>
            <w:tcBorders>
              <w:top w:val="single" w:sz="4" w:space="0" w:color="DBE5F1" w:themeColor="accent1" w:themeTint="33"/>
            </w:tcBorders>
            <w:noWrap/>
            <w:vAlign w:val="center"/>
          </w:tcPr>
          <w:p w:rsidR="0003039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03039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hAnsi="Arial" w:cs="Arial"/>
                <w:b w:val="0"/>
                <w:color w:val="000000"/>
                <w:sz w:val="20"/>
                <w:szCs w:val="20"/>
              </w:rPr>
            </w:pPr>
            <w:r w:rsidRPr="00AB5B9E">
              <w:rPr>
                <w:rFonts w:ascii="Arial" w:hAnsi="Arial" w:cs="Arial"/>
                <w:b w:val="0"/>
                <w:color w:val="000000"/>
                <w:sz w:val="20"/>
                <w:szCs w:val="20"/>
              </w:rPr>
              <w:t>Dirección jurídica</w:t>
            </w:r>
          </w:p>
        </w:tc>
        <w:tc>
          <w:tcPr>
            <w:tcW w:w="1734" w:type="dxa"/>
            <w:tcBorders>
              <w:top w:val="single" w:sz="4" w:space="0" w:color="DBE5F1" w:themeColor="accent1" w:themeTint="33"/>
            </w:tcBorders>
            <w:noWrap/>
            <w:vAlign w:val="center"/>
          </w:tcPr>
          <w:p w:rsidR="0003039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34"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Área de servicio a la ciudadanía</w:t>
            </w:r>
          </w:p>
        </w:tc>
        <w:tc>
          <w:tcPr>
            <w:tcW w:w="1734"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CB1E5F"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100,00%</w:t>
            </w:r>
          </w:p>
        </w:tc>
      </w:tr>
      <w:tr w:rsidR="00030393" w:rsidRPr="00E81ED3" w:rsidTr="00940E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36" w:type="dxa"/>
            <w:vAlign w:val="center"/>
          </w:tcPr>
          <w:p w:rsidR="00030393" w:rsidRPr="00E81ED3" w:rsidRDefault="00030393" w:rsidP="00EF1BFD">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34" w:type="dxa"/>
            <w:noWrap/>
            <w:vAlign w:val="center"/>
          </w:tcPr>
          <w:p w:rsidR="00030393" w:rsidRPr="00CB1E5F" w:rsidRDefault="004250FD"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CB1E5F">
              <w:rPr>
                <w:rFonts w:ascii="Arial" w:hAnsi="Arial" w:cs="Arial"/>
                <w:b/>
                <w:color w:val="000000"/>
                <w:sz w:val="20"/>
                <w:szCs w:val="20"/>
              </w:rPr>
              <w:t>75</w:t>
            </w:r>
          </w:p>
        </w:tc>
        <w:tc>
          <w:tcPr>
            <w:tcW w:w="1701" w:type="dxa"/>
            <w:noWrap/>
            <w:vAlign w:val="center"/>
          </w:tcPr>
          <w:p w:rsidR="00030393" w:rsidRPr="00CB1E5F" w:rsidRDefault="003844B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sidRPr="00CB1E5F">
              <w:rPr>
                <w:rFonts w:ascii="Arial" w:eastAsia="Times New Roman" w:hAnsi="Arial" w:cs="Arial"/>
                <w:b/>
                <w:color w:val="000000"/>
                <w:sz w:val="20"/>
                <w:szCs w:val="20"/>
                <w:lang w:eastAsia="es-CO"/>
              </w:rPr>
              <w:t>75</w:t>
            </w:r>
          </w:p>
        </w:tc>
        <w:tc>
          <w:tcPr>
            <w:tcW w:w="1985" w:type="dxa"/>
            <w:noWrap/>
            <w:vAlign w:val="center"/>
          </w:tcPr>
          <w:p w:rsidR="00030393" w:rsidRPr="00CB1E5F" w:rsidRDefault="00CB1E5F"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CB1E5F">
              <w:rPr>
                <w:rFonts w:ascii="Arial" w:eastAsia="Times New Roman" w:hAnsi="Arial" w:cs="Arial"/>
                <w:b/>
                <w:color w:val="000000"/>
                <w:sz w:val="20"/>
                <w:szCs w:val="20"/>
                <w:lang w:eastAsia="es-CO"/>
              </w:rPr>
              <w:t>100,00%</w:t>
            </w:r>
          </w:p>
        </w:tc>
      </w:tr>
    </w:tbl>
    <w:p w:rsidR="00A2288C" w:rsidRPr="007E2536" w:rsidRDefault="00A2288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2288C" w:rsidRPr="00DF7866" w:rsidRDefault="00A2288C" w:rsidP="00EF1BFD">
      <w:pPr>
        <w:spacing w:after="0" w:line="240" w:lineRule="auto"/>
        <w:rPr>
          <w:rFonts w:ascii="Arial" w:hAnsi="Arial" w:cs="Arial"/>
          <w:sz w:val="24"/>
          <w:szCs w:val="24"/>
          <w:lang w:val="es-ES"/>
        </w:rPr>
      </w:pPr>
    </w:p>
    <w:p w:rsidR="00A2288C" w:rsidRDefault="001E2CE9"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w:t>
      </w:r>
      <w:r w:rsidR="00A2288C" w:rsidRPr="007220C8">
        <w:rPr>
          <w:rFonts w:ascii="Arial" w:hAnsi="Arial" w:cs="Arial"/>
          <w:color w:val="000000" w:themeColor="text1"/>
          <w:sz w:val="24"/>
          <w:szCs w:val="24"/>
        </w:rPr>
        <w:t xml:space="preserve">as </w:t>
      </w:r>
      <w:r w:rsidR="0067793B">
        <w:rPr>
          <w:rFonts w:ascii="Arial" w:hAnsi="Arial" w:cs="Arial"/>
          <w:color w:val="000000" w:themeColor="text1"/>
          <w:sz w:val="24"/>
          <w:szCs w:val="24"/>
        </w:rPr>
        <w:t xml:space="preserve">ocho </w:t>
      </w:r>
      <w:r w:rsidR="00A2288C" w:rsidRPr="007220C8">
        <w:rPr>
          <w:rFonts w:ascii="Arial" w:hAnsi="Arial" w:cs="Arial"/>
          <w:color w:val="000000" w:themeColor="text1"/>
          <w:sz w:val="24"/>
          <w:szCs w:val="24"/>
        </w:rPr>
        <w:t>(</w:t>
      </w:r>
      <w:r w:rsidR="0067793B">
        <w:rPr>
          <w:rFonts w:ascii="Arial" w:hAnsi="Arial" w:cs="Arial"/>
          <w:color w:val="000000" w:themeColor="text1"/>
          <w:sz w:val="24"/>
          <w:szCs w:val="24"/>
        </w:rPr>
        <w:t>8</w:t>
      </w:r>
      <w:r w:rsidR="00A2288C" w:rsidRPr="007220C8">
        <w:rPr>
          <w:rFonts w:ascii="Arial" w:hAnsi="Arial" w:cs="Arial"/>
          <w:color w:val="000000" w:themeColor="text1"/>
          <w:sz w:val="24"/>
          <w:szCs w:val="24"/>
        </w:rPr>
        <w:t>) áreas o dependencias que atendieron las</w:t>
      </w:r>
      <w:r>
        <w:rPr>
          <w:rFonts w:ascii="Arial" w:hAnsi="Arial" w:cs="Arial"/>
          <w:color w:val="000000" w:themeColor="text1"/>
          <w:sz w:val="24"/>
          <w:szCs w:val="24"/>
        </w:rPr>
        <w:t xml:space="preserve"> 75</w:t>
      </w:r>
      <w:r w:rsidR="00A2288C" w:rsidRPr="007220C8">
        <w:rPr>
          <w:rFonts w:ascii="Arial" w:hAnsi="Arial" w:cs="Arial"/>
          <w:color w:val="000000" w:themeColor="text1"/>
          <w:sz w:val="24"/>
          <w:szCs w:val="24"/>
        </w:rPr>
        <w:t xml:space="preserve"> PQRSD, </w:t>
      </w:r>
      <w:r>
        <w:rPr>
          <w:rFonts w:ascii="Arial" w:hAnsi="Arial" w:cs="Arial"/>
          <w:color w:val="000000" w:themeColor="text1"/>
          <w:sz w:val="24"/>
          <w:szCs w:val="24"/>
        </w:rPr>
        <w:t>dieron respuesta en 9,95 días hábiles en promedio, de los 15,20 días hábiles en promedio que poseían.</w:t>
      </w:r>
      <w:r w:rsidR="00AF0BA9">
        <w:rPr>
          <w:rFonts w:ascii="Arial" w:hAnsi="Arial" w:cs="Arial"/>
          <w:color w:val="000000" w:themeColor="text1"/>
          <w:sz w:val="24"/>
          <w:szCs w:val="24"/>
        </w:rPr>
        <w:t xml:space="preserve"> Generando un ahorro de 5,25 días hábiles en promedio.</w:t>
      </w:r>
    </w:p>
    <w:p w:rsidR="003F1ED3" w:rsidRDefault="003F1ED3" w:rsidP="00EF1BFD">
      <w:pPr>
        <w:spacing w:after="0" w:line="240" w:lineRule="auto"/>
        <w:jc w:val="both"/>
        <w:rPr>
          <w:rFonts w:ascii="Arial" w:hAnsi="Arial" w:cs="Arial"/>
          <w:color w:val="000000" w:themeColor="text1"/>
          <w:sz w:val="24"/>
          <w:szCs w:val="24"/>
        </w:rPr>
      </w:pPr>
    </w:p>
    <w:p w:rsidR="000A58B5" w:rsidRPr="007220C8" w:rsidRDefault="000A58B5" w:rsidP="00EF1BFD">
      <w:pPr>
        <w:spacing w:after="0" w:line="240" w:lineRule="auto"/>
        <w:jc w:val="both"/>
        <w:rPr>
          <w:rFonts w:ascii="Arial" w:hAnsi="Arial" w:cs="Arial"/>
          <w:color w:val="000000" w:themeColor="text1"/>
          <w:sz w:val="24"/>
          <w:szCs w:val="24"/>
        </w:rPr>
      </w:pPr>
    </w:p>
    <w:p w:rsidR="00A2288C" w:rsidRPr="000F5953" w:rsidRDefault="00A2288C" w:rsidP="00EF1BFD">
      <w:pPr>
        <w:pStyle w:val="Ttulo2"/>
        <w:spacing w:before="0" w:after="0" w:line="240" w:lineRule="auto"/>
      </w:pPr>
      <w:bookmarkStart w:id="32" w:name="_Toc3271541"/>
      <w:bookmarkStart w:id="33" w:name="_Toc6996654"/>
      <w:bookmarkStart w:id="34" w:name="_Toc11337904"/>
      <w:bookmarkStart w:id="35" w:name="_Toc16758377"/>
      <w:r w:rsidRPr="000F5953">
        <w:t>Calculo del Tiempo Promedio de Respuesta por Tipología y Dependencia a las PQRSD</w:t>
      </w:r>
      <w:bookmarkEnd w:id="32"/>
      <w:bookmarkEnd w:id="33"/>
      <w:bookmarkEnd w:id="34"/>
      <w:bookmarkEnd w:id="35"/>
    </w:p>
    <w:p w:rsidR="000A58B5" w:rsidRDefault="000A58B5" w:rsidP="00EF1BFD">
      <w:pPr>
        <w:spacing w:after="0" w:line="240" w:lineRule="auto"/>
        <w:jc w:val="both"/>
        <w:rPr>
          <w:rFonts w:ascii="Arial" w:hAnsi="Arial" w:cs="Arial"/>
          <w:sz w:val="24"/>
          <w:szCs w:val="24"/>
          <w:lang w:val="es-ES"/>
        </w:rPr>
      </w:pPr>
    </w:p>
    <w:p w:rsidR="00A2288C" w:rsidRPr="00DF7866" w:rsidRDefault="00A2288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w:t>
      </w:r>
      <w:r w:rsidR="00193D58">
        <w:rPr>
          <w:rFonts w:ascii="Arial" w:hAnsi="Arial" w:cs="Arial"/>
          <w:sz w:val="24"/>
          <w:szCs w:val="24"/>
          <w:lang w:val="es-ES"/>
        </w:rPr>
        <w:t xml:space="preserve">primer semestre de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C26CE4">
        <w:rPr>
          <w:rFonts w:ascii="Arial" w:hAnsi="Arial" w:cs="Arial"/>
          <w:sz w:val="24"/>
          <w:szCs w:val="24"/>
          <w:lang w:val="es-ES"/>
        </w:rPr>
        <w:t xml:space="preserve">2.118 </w:t>
      </w:r>
      <w:r w:rsidRPr="00DF7866">
        <w:rPr>
          <w:rFonts w:ascii="Arial" w:hAnsi="Arial" w:cs="Arial"/>
          <w:sz w:val="24"/>
          <w:szCs w:val="24"/>
          <w:lang w:val="es-ES"/>
        </w:rPr>
        <w:t xml:space="preserve">PQRSD interpuestas ante la Caja de la Vivienda Popular fue de </w:t>
      </w:r>
      <w:r w:rsidR="006710B4">
        <w:rPr>
          <w:rFonts w:ascii="Arial" w:hAnsi="Arial" w:cs="Arial"/>
          <w:sz w:val="24"/>
          <w:szCs w:val="24"/>
          <w:lang w:val="es-ES"/>
        </w:rPr>
        <w:t xml:space="preserve">9,68 </w:t>
      </w:r>
      <w:r w:rsidRPr="00DF7866">
        <w:rPr>
          <w:rFonts w:ascii="Arial" w:hAnsi="Arial" w:cs="Arial"/>
          <w:sz w:val="24"/>
          <w:szCs w:val="24"/>
          <w:lang w:val="es-ES"/>
        </w:rPr>
        <w:t xml:space="preserve">días hábiles, siendo este valor </w:t>
      </w:r>
      <w:r w:rsidR="00055155">
        <w:rPr>
          <w:rFonts w:ascii="Arial" w:hAnsi="Arial" w:cs="Arial"/>
          <w:sz w:val="24"/>
          <w:szCs w:val="24"/>
          <w:lang w:val="es-ES"/>
        </w:rPr>
        <w:t xml:space="preserve">ligeramente </w:t>
      </w:r>
      <w:r w:rsidR="00A72D58">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 xml:space="preserve">l del </w:t>
      </w:r>
      <w:r w:rsidR="00055155">
        <w:rPr>
          <w:rFonts w:ascii="Arial" w:hAnsi="Arial" w:cs="Arial"/>
          <w:sz w:val="24"/>
          <w:szCs w:val="24"/>
          <w:lang w:val="es-ES"/>
        </w:rPr>
        <w:t>mismo periodo del año inmediatamente anterior (2018),</w:t>
      </w:r>
      <w:r w:rsidRPr="00DF7866">
        <w:rPr>
          <w:rFonts w:ascii="Arial" w:hAnsi="Arial" w:cs="Arial"/>
          <w:sz w:val="24"/>
          <w:szCs w:val="24"/>
          <w:lang w:val="es-ES"/>
        </w:rPr>
        <w:t xml:space="preserve"> el cual se ubicó</w:t>
      </w:r>
      <w:r w:rsidR="00055155">
        <w:rPr>
          <w:rFonts w:ascii="Arial" w:hAnsi="Arial" w:cs="Arial"/>
          <w:sz w:val="24"/>
          <w:szCs w:val="24"/>
          <w:lang w:val="es-ES"/>
        </w:rPr>
        <w:t xml:space="preserve"> 9,51</w:t>
      </w:r>
      <w:r>
        <w:rPr>
          <w:rFonts w:ascii="Arial" w:hAnsi="Arial" w:cs="Arial"/>
          <w:sz w:val="24"/>
          <w:szCs w:val="24"/>
          <w:lang w:val="es-ES"/>
        </w:rPr>
        <w:t xml:space="preserve"> </w:t>
      </w:r>
      <w:r w:rsidRPr="00DF7866">
        <w:rPr>
          <w:rFonts w:ascii="Arial" w:hAnsi="Arial" w:cs="Arial"/>
          <w:sz w:val="24"/>
          <w:szCs w:val="24"/>
          <w:lang w:val="es-ES"/>
        </w:rPr>
        <w:t>días hábiles promedio</w:t>
      </w:r>
      <w:r w:rsidR="00055155">
        <w:rPr>
          <w:rFonts w:ascii="Arial" w:hAnsi="Arial" w:cs="Arial"/>
          <w:sz w:val="24"/>
          <w:szCs w:val="24"/>
          <w:lang w:val="es-ES"/>
        </w:rPr>
        <w:t>, para las 2.115 PQRSD solucionadas</w:t>
      </w:r>
      <w:r w:rsidRPr="00DF7866">
        <w:rPr>
          <w:rFonts w:ascii="Arial" w:hAnsi="Arial" w:cs="Arial"/>
          <w:sz w:val="24"/>
          <w:szCs w:val="24"/>
          <w:lang w:val="es-ES"/>
        </w:rPr>
        <w:t>.</w:t>
      </w:r>
    </w:p>
    <w:p w:rsidR="00A31B2E" w:rsidRDefault="00A31B2E" w:rsidP="00EF1BFD">
      <w:pPr>
        <w:spacing w:after="0" w:line="240" w:lineRule="auto"/>
        <w:jc w:val="both"/>
        <w:rPr>
          <w:rFonts w:ascii="Arial" w:hAnsi="Arial" w:cs="Arial"/>
          <w:sz w:val="24"/>
          <w:szCs w:val="24"/>
          <w:lang w:val="es-ES"/>
        </w:rPr>
      </w:pPr>
    </w:p>
    <w:p w:rsidR="005F2A6F" w:rsidRDefault="005F2A6F" w:rsidP="005F2A6F">
      <w:pPr>
        <w:spacing w:after="0" w:line="240" w:lineRule="auto"/>
        <w:jc w:val="both"/>
        <w:rPr>
          <w:rFonts w:ascii="Arial" w:hAnsi="Arial" w:cs="Arial"/>
          <w:sz w:val="24"/>
          <w:szCs w:val="24"/>
          <w:lang w:val="es-ES"/>
        </w:rPr>
      </w:pPr>
      <w:r>
        <w:rPr>
          <w:rFonts w:ascii="Arial" w:hAnsi="Arial" w:cs="Arial"/>
          <w:sz w:val="24"/>
          <w:szCs w:val="24"/>
          <w:lang w:val="es-ES"/>
        </w:rPr>
        <w:t>En la</w:t>
      </w:r>
      <w:r w:rsidR="00A60E08">
        <w:rPr>
          <w:rFonts w:ascii="Arial" w:hAnsi="Arial" w:cs="Arial"/>
          <w:sz w:val="24"/>
          <w:szCs w:val="24"/>
          <w:lang w:val="es-ES"/>
        </w:rPr>
        <w:t xml:space="preserve"> siguiente </w:t>
      </w:r>
      <w:r>
        <w:rPr>
          <w:rFonts w:ascii="Arial" w:hAnsi="Arial" w:cs="Arial"/>
          <w:sz w:val="24"/>
          <w:szCs w:val="24"/>
          <w:lang w:val="es-ES"/>
        </w:rPr>
        <w:t xml:space="preserve">tabla (No. </w:t>
      </w:r>
      <w:r w:rsidR="00E43D5B">
        <w:rPr>
          <w:rFonts w:ascii="Arial" w:hAnsi="Arial" w:cs="Arial"/>
          <w:sz w:val="24"/>
          <w:szCs w:val="24"/>
          <w:lang w:val="es-ES"/>
        </w:rPr>
        <w:t>8</w:t>
      </w:r>
      <w:r>
        <w:rPr>
          <w:rFonts w:ascii="Arial" w:hAnsi="Arial" w:cs="Arial"/>
          <w:sz w:val="24"/>
          <w:szCs w:val="24"/>
          <w:lang w:val="es-ES"/>
        </w:rPr>
        <w:t>) podemos identificar que existieron</w:t>
      </w:r>
      <w:r w:rsidR="00994D8E">
        <w:rPr>
          <w:rFonts w:ascii="Arial" w:hAnsi="Arial" w:cs="Arial"/>
          <w:sz w:val="24"/>
          <w:szCs w:val="24"/>
          <w:lang w:val="es-ES"/>
        </w:rPr>
        <w:t xml:space="preserve"> cinco </w:t>
      </w:r>
      <w:r>
        <w:rPr>
          <w:rFonts w:ascii="Arial" w:hAnsi="Arial" w:cs="Arial"/>
          <w:sz w:val="24"/>
          <w:szCs w:val="24"/>
          <w:lang w:val="es-ES"/>
        </w:rPr>
        <w:t>(</w:t>
      </w:r>
      <w:r w:rsidR="00994D8E">
        <w:rPr>
          <w:rFonts w:ascii="Arial" w:hAnsi="Arial" w:cs="Arial"/>
          <w:sz w:val="24"/>
          <w:szCs w:val="24"/>
          <w:lang w:val="es-ES"/>
        </w:rPr>
        <w:t>5</w:t>
      </w:r>
      <w:r>
        <w:rPr>
          <w:rFonts w:ascii="Arial" w:hAnsi="Arial" w:cs="Arial"/>
          <w:sz w:val="24"/>
          <w:szCs w:val="24"/>
          <w:lang w:val="es-ES"/>
        </w:rPr>
        <w:t>)</w:t>
      </w:r>
      <w:r w:rsidR="00994D8E">
        <w:rPr>
          <w:rFonts w:ascii="Arial" w:hAnsi="Arial" w:cs="Arial"/>
          <w:sz w:val="24"/>
          <w:szCs w:val="24"/>
          <w:lang w:val="es-ES"/>
        </w:rPr>
        <w:t xml:space="preserve"> tipologías </w:t>
      </w:r>
      <w:r w:rsidR="00E83C20">
        <w:rPr>
          <w:rFonts w:ascii="Arial" w:hAnsi="Arial" w:cs="Arial"/>
          <w:sz w:val="24"/>
          <w:szCs w:val="24"/>
          <w:lang w:val="es-ES"/>
        </w:rPr>
        <w:t xml:space="preserve">que superaron en promedio los </w:t>
      </w:r>
      <w:r w:rsidR="00891AF4">
        <w:rPr>
          <w:rFonts w:ascii="Arial" w:hAnsi="Arial" w:cs="Arial"/>
          <w:sz w:val="24"/>
          <w:szCs w:val="24"/>
          <w:lang w:val="es-ES"/>
        </w:rPr>
        <w:t>tiempos máximos</w:t>
      </w:r>
      <w:r>
        <w:rPr>
          <w:rFonts w:ascii="Arial" w:hAnsi="Arial" w:cs="Arial"/>
          <w:sz w:val="24"/>
          <w:szCs w:val="24"/>
          <w:lang w:val="es-ES"/>
        </w:rPr>
        <w:t xml:space="preserve"> que determina la ley, para dar respuestas a las PQRSD.</w:t>
      </w:r>
    </w:p>
    <w:p w:rsidR="007C5217" w:rsidRDefault="007C5217" w:rsidP="005F2A6F">
      <w:pPr>
        <w:spacing w:after="0" w:line="240" w:lineRule="auto"/>
        <w:jc w:val="both"/>
        <w:rPr>
          <w:rFonts w:ascii="Arial" w:hAnsi="Arial" w:cs="Arial"/>
          <w:sz w:val="24"/>
          <w:szCs w:val="24"/>
          <w:lang w:val="es-ES"/>
        </w:rPr>
      </w:pPr>
    </w:p>
    <w:p w:rsidR="0078293E" w:rsidRDefault="007C5217" w:rsidP="005F2A6F">
      <w:pPr>
        <w:spacing w:after="0" w:line="240" w:lineRule="auto"/>
        <w:jc w:val="both"/>
        <w:rPr>
          <w:rFonts w:ascii="Arial" w:hAnsi="Arial" w:cs="Arial"/>
          <w:sz w:val="24"/>
          <w:szCs w:val="24"/>
          <w:lang w:val="es-ES"/>
        </w:rPr>
      </w:pPr>
      <w:r>
        <w:rPr>
          <w:rFonts w:ascii="Arial" w:hAnsi="Arial" w:cs="Arial"/>
          <w:sz w:val="24"/>
          <w:szCs w:val="24"/>
          <w:lang w:val="es-ES"/>
        </w:rPr>
        <w:t xml:space="preserve">De igual manera, </w:t>
      </w:r>
      <w:r w:rsidR="005F7C07">
        <w:rPr>
          <w:rFonts w:ascii="Arial" w:hAnsi="Arial" w:cs="Arial"/>
          <w:sz w:val="24"/>
          <w:szCs w:val="24"/>
          <w:lang w:val="es-ES"/>
        </w:rPr>
        <w:t xml:space="preserve">en cuanto a las </w:t>
      </w:r>
      <w:r w:rsidR="0078293E">
        <w:rPr>
          <w:rFonts w:ascii="Arial" w:hAnsi="Arial" w:cs="Arial"/>
          <w:sz w:val="24"/>
          <w:szCs w:val="24"/>
          <w:lang w:val="es-ES"/>
        </w:rPr>
        <w:t>catorce (</w:t>
      </w:r>
      <w:r w:rsidR="0079000E">
        <w:rPr>
          <w:rFonts w:ascii="Arial" w:hAnsi="Arial" w:cs="Arial"/>
          <w:sz w:val="24"/>
          <w:szCs w:val="24"/>
          <w:lang w:val="es-ES"/>
        </w:rPr>
        <w:t>14</w:t>
      </w:r>
      <w:r w:rsidR="0078293E">
        <w:rPr>
          <w:rFonts w:ascii="Arial" w:hAnsi="Arial" w:cs="Arial"/>
          <w:sz w:val="24"/>
          <w:szCs w:val="24"/>
          <w:lang w:val="es-ES"/>
        </w:rPr>
        <w:t>)</w:t>
      </w:r>
      <w:r w:rsidR="0079000E">
        <w:rPr>
          <w:rFonts w:ascii="Arial" w:hAnsi="Arial" w:cs="Arial"/>
          <w:sz w:val="24"/>
          <w:szCs w:val="24"/>
          <w:lang w:val="es-ES"/>
        </w:rPr>
        <w:t xml:space="preserve"> áreas/dependencias, </w:t>
      </w:r>
      <w:r w:rsidR="0078293E">
        <w:rPr>
          <w:rFonts w:ascii="Arial" w:hAnsi="Arial" w:cs="Arial"/>
          <w:sz w:val="24"/>
          <w:szCs w:val="24"/>
          <w:lang w:val="es-ES"/>
        </w:rPr>
        <w:t>seis (6) generaron respuestas inoportunas, que en promedio superaron los tiempos máximos que determina la ley. Las cuales tenían en promedio un tiempo máximo de 14 días hábiles, pero utilizaron 15,54 días hábiles promedio.</w:t>
      </w:r>
    </w:p>
    <w:p w:rsidR="0078293E" w:rsidRDefault="0078293E" w:rsidP="005F2A6F">
      <w:pPr>
        <w:spacing w:after="0" w:line="240" w:lineRule="auto"/>
        <w:jc w:val="both"/>
        <w:rPr>
          <w:rFonts w:ascii="Arial" w:hAnsi="Arial" w:cs="Arial"/>
          <w:sz w:val="24"/>
          <w:szCs w:val="24"/>
          <w:lang w:val="es-ES"/>
        </w:rPr>
      </w:pPr>
    </w:p>
    <w:p w:rsidR="0078293E" w:rsidRDefault="0078293E" w:rsidP="005F2A6F">
      <w:pPr>
        <w:spacing w:after="0" w:line="240" w:lineRule="auto"/>
        <w:jc w:val="both"/>
        <w:rPr>
          <w:rFonts w:ascii="Arial" w:hAnsi="Arial" w:cs="Arial"/>
          <w:sz w:val="24"/>
          <w:szCs w:val="24"/>
          <w:lang w:val="es-ES"/>
        </w:rPr>
      </w:pPr>
    </w:p>
    <w:tbl>
      <w:tblPr>
        <w:tblStyle w:val="GridTable4Accent1"/>
        <w:tblW w:w="9621" w:type="dxa"/>
        <w:tblLook w:val="04A0" w:firstRow="1" w:lastRow="0" w:firstColumn="1" w:lastColumn="0" w:noHBand="0" w:noVBand="1"/>
      </w:tblPr>
      <w:tblGrid>
        <w:gridCol w:w="1547"/>
        <w:gridCol w:w="667"/>
        <w:gridCol w:w="729"/>
        <w:gridCol w:w="880"/>
        <w:gridCol w:w="879"/>
        <w:gridCol w:w="667"/>
        <w:gridCol w:w="691"/>
        <w:gridCol w:w="667"/>
        <w:gridCol w:w="749"/>
        <w:gridCol w:w="708"/>
        <w:gridCol w:w="667"/>
        <w:gridCol w:w="770"/>
      </w:tblGrid>
      <w:tr w:rsidR="00382270" w:rsidRPr="00037AAC" w:rsidTr="0038227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21" w:type="dxa"/>
            <w:gridSpan w:val="12"/>
            <w:tcBorders>
              <w:bottom w:val="single" w:sz="4" w:space="0" w:color="FFFFFF" w:themeColor="background1"/>
            </w:tcBorders>
            <w:noWrap/>
            <w:vAlign w:val="center"/>
            <w:hideMark/>
          </w:tcPr>
          <w:p w:rsidR="00C05531" w:rsidRPr="00037AAC" w:rsidRDefault="00C05531" w:rsidP="00A31B2E">
            <w:pPr>
              <w:spacing w:after="0" w:line="240" w:lineRule="auto"/>
              <w:jc w:val="center"/>
              <w:rPr>
                <w:rFonts w:ascii="Arial" w:eastAsia="Times New Roman" w:hAnsi="Arial" w:cs="Arial"/>
                <w:sz w:val="18"/>
                <w:szCs w:val="18"/>
                <w:lang w:eastAsia="es-CO"/>
              </w:rPr>
            </w:pPr>
            <w:r w:rsidRPr="00B943B1">
              <w:rPr>
                <w:rFonts w:ascii="Arial" w:eastAsia="Times New Roman" w:hAnsi="Arial" w:cs="Arial"/>
                <w:sz w:val="18"/>
                <w:szCs w:val="18"/>
                <w:lang w:eastAsia="es-CO"/>
              </w:rPr>
              <w:lastRenderedPageBreak/>
              <w:t>TABLA No. 8 - TIEMPO PROMEDIO DE RESPUESTA A PQRSD EN DIAS HABILES</w:t>
            </w:r>
          </w:p>
        </w:tc>
      </w:tr>
      <w:tr w:rsidR="003B3FF3" w:rsidRPr="00037AAC" w:rsidTr="009C5598">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1547" w:type="dxa"/>
            <w:vMerge w:val="restart"/>
            <w:tcBorders>
              <w:top w:val="single" w:sz="4" w:space="0" w:color="FFFFFF" w:themeColor="background1"/>
              <w:bottom w:val="single" w:sz="4" w:space="0" w:color="FFFFFF" w:themeColor="background1"/>
              <w:right w:val="single" w:sz="4" w:space="0" w:color="FFFFFF" w:themeColor="background1"/>
            </w:tcBorders>
            <w:noWrap/>
            <w:vAlign w:val="center"/>
            <w:hideMark/>
          </w:tcPr>
          <w:p w:rsidR="003B3FF3" w:rsidRPr="00037AAC" w:rsidRDefault="003B3FF3" w:rsidP="00A31B2E">
            <w:pPr>
              <w:spacing w:after="0" w:line="240" w:lineRule="auto"/>
              <w:jc w:val="center"/>
              <w:rPr>
                <w:rFonts w:ascii="Arial" w:eastAsia="Times New Roman" w:hAnsi="Arial" w:cs="Arial"/>
                <w:sz w:val="18"/>
                <w:szCs w:val="18"/>
                <w:lang w:eastAsia="es-CO"/>
              </w:rPr>
            </w:pPr>
            <w:r w:rsidRPr="00037AAC">
              <w:rPr>
                <w:rFonts w:ascii="Arial" w:eastAsia="Times New Roman" w:hAnsi="Arial" w:cs="Arial"/>
                <w:sz w:val="18"/>
                <w:szCs w:val="18"/>
                <w:lang w:eastAsia="es-CO"/>
              </w:rPr>
              <w:t>DEPENDENCIA</w:t>
            </w:r>
          </w:p>
        </w:tc>
        <w:tc>
          <w:tcPr>
            <w:tcW w:w="730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037AAC">
              <w:rPr>
                <w:rFonts w:ascii="Arial" w:eastAsia="Times New Roman" w:hAnsi="Arial" w:cs="Arial"/>
                <w:sz w:val="18"/>
                <w:szCs w:val="18"/>
                <w:lang w:eastAsia="es-CO"/>
              </w:rPr>
              <w:t>TIPOLOGIA</w:t>
            </w:r>
          </w:p>
        </w:tc>
        <w:tc>
          <w:tcPr>
            <w:tcW w:w="770" w:type="dxa"/>
            <w:vMerge w:val="restart"/>
            <w:tcBorders>
              <w:top w:val="single" w:sz="4" w:space="0" w:color="FFFFFF" w:themeColor="background1"/>
              <w:left w:val="single" w:sz="4" w:space="0" w:color="FFFFFF" w:themeColor="background1"/>
            </w:tcBorders>
            <w:textDirection w:val="btLr"/>
            <w:vAlign w:val="center"/>
            <w:hideMark/>
          </w:tcPr>
          <w:p w:rsidR="003B3FF3" w:rsidRPr="00037AAC" w:rsidRDefault="003B3FF3" w:rsidP="009C559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r w:rsidRPr="00037AAC">
              <w:rPr>
                <w:rFonts w:ascii="Arial" w:eastAsia="Times New Roman" w:hAnsi="Arial" w:cs="Arial"/>
                <w:color w:val="FFFFFF"/>
                <w:sz w:val="18"/>
                <w:szCs w:val="18"/>
                <w:lang w:eastAsia="es-CO"/>
              </w:rPr>
              <w:t>PROMEDIO X DEPENDENCIA</w:t>
            </w:r>
          </w:p>
        </w:tc>
      </w:tr>
      <w:tr w:rsidR="003B3FF3" w:rsidRPr="00037AAC" w:rsidTr="00382270">
        <w:trPr>
          <w:cnfStyle w:val="100000000000" w:firstRow="1" w:lastRow="0" w:firstColumn="0" w:lastColumn="0" w:oddVBand="0" w:evenVBand="0" w:oddHBand="0" w:evenHBand="0" w:firstRowFirstColumn="0" w:firstRowLastColumn="0" w:lastRowFirstColumn="0" w:lastRowLastColumn="0"/>
          <w:trHeight w:val="2499"/>
          <w:tblHeader/>
        </w:trPr>
        <w:tc>
          <w:tcPr>
            <w:cnfStyle w:val="001000000000" w:firstRow="0" w:lastRow="0" w:firstColumn="1" w:lastColumn="0" w:oddVBand="0" w:evenVBand="0" w:oddHBand="0" w:evenHBand="0" w:firstRowFirstColumn="0" w:firstRowLastColumn="0" w:lastRowFirstColumn="0" w:lastRowLastColumn="0"/>
            <w:tcW w:w="1547" w:type="dxa"/>
            <w:vMerge/>
            <w:tcBorders>
              <w:top w:val="single" w:sz="4" w:space="0" w:color="FFFFFF" w:themeColor="background1"/>
              <w:right w:val="single" w:sz="4" w:space="0" w:color="FFFFFF" w:themeColor="background1"/>
            </w:tcBorders>
            <w:vAlign w:val="center"/>
            <w:hideMark/>
          </w:tcPr>
          <w:p w:rsidR="003B3FF3" w:rsidRPr="00037AAC" w:rsidRDefault="003B3FF3" w:rsidP="00A31B2E">
            <w:pPr>
              <w:spacing w:after="0" w:line="240" w:lineRule="auto"/>
              <w:jc w:val="center"/>
              <w:rPr>
                <w:rFonts w:ascii="Arial" w:eastAsia="Times New Roman" w:hAnsi="Arial" w:cs="Arial"/>
                <w:sz w:val="18"/>
                <w:szCs w:val="18"/>
                <w:lang w:eastAsia="es-CO"/>
              </w:rPr>
            </w:pPr>
          </w:p>
        </w:tc>
        <w:tc>
          <w:tcPr>
            <w:tcW w:w="667"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CONSULTA</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(30 días hábiles)</w:t>
            </w:r>
          </w:p>
        </w:tc>
        <w:tc>
          <w:tcPr>
            <w:tcW w:w="729"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DENUNCIA POR ACTOS DE CORRUPCION</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880"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DERECHO DE PETICION DE INTERES GENERAL</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879"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DERECHO DE PETICION DE INTERES PARTICULAR</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667"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FELICITACION</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691"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QUEJA</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667"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RECLAMO</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749"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SOLICITUD DE ACCESO A LA INFORMACION</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(10 días hábiles)</w:t>
            </w:r>
          </w:p>
        </w:tc>
        <w:tc>
          <w:tcPr>
            <w:tcW w:w="708"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SOLICITUD DE COPIA</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586576">
              <w:rPr>
                <w:rFonts w:ascii="Arial" w:eastAsia="Times New Roman" w:hAnsi="Arial" w:cs="Arial"/>
                <w:sz w:val="16"/>
                <w:szCs w:val="16"/>
                <w:lang w:eastAsia="es-CO"/>
              </w:rPr>
              <w:t>(10 días hábiles</w:t>
            </w:r>
            <w:r w:rsidRPr="00EE44D7">
              <w:rPr>
                <w:rFonts w:ascii="Arial" w:eastAsia="Times New Roman" w:hAnsi="Arial" w:cs="Arial"/>
                <w:sz w:val="18"/>
                <w:szCs w:val="18"/>
                <w:lang w:eastAsia="es-CO"/>
              </w:rPr>
              <w:t>)</w:t>
            </w:r>
          </w:p>
        </w:tc>
        <w:tc>
          <w:tcPr>
            <w:tcW w:w="667" w:type="dxa"/>
            <w:tcBorders>
              <w:top w:val="single" w:sz="4" w:space="0" w:color="FFFFFF" w:themeColor="background1"/>
              <w:left w:val="single" w:sz="4" w:space="0" w:color="FFFFFF" w:themeColor="background1"/>
              <w:right w:val="single" w:sz="4" w:space="0" w:color="FFFFFF" w:themeColor="background1"/>
            </w:tcBorders>
            <w:textDirection w:val="btLr"/>
            <w:vAlign w:val="center"/>
            <w:hideMark/>
          </w:tcPr>
          <w:p w:rsidR="003B3FF3"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37AAC">
              <w:rPr>
                <w:rFonts w:ascii="Arial" w:eastAsia="Times New Roman" w:hAnsi="Arial" w:cs="Arial"/>
                <w:sz w:val="18"/>
                <w:szCs w:val="18"/>
                <w:lang w:eastAsia="es-CO"/>
              </w:rPr>
              <w:t>SUGERENCIA</w:t>
            </w:r>
          </w:p>
          <w:p w:rsidR="003B3FF3" w:rsidRPr="00037AAC" w:rsidRDefault="003B3FF3" w:rsidP="00A31B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586576">
              <w:rPr>
                <w:rFonts w:ascii="Arial" w:eastAsia="Times New Roman" w:hAnsi="Arial" w:cs="Arial"/>
                <w:sz w:val="16"/>
                <w:szCs w:val="16"/>
                <w:lang w:eastAsia="es-CO"/>
              </w:rPr>
              <w:t>(15 días hábiles)</w:t>
            </w:r>
          </w:p>
        </w:tc>
        <w:tc>
          <w:tcPr>
            <w:tcW w:w="770" w:type="dxa"/>
            <w:vMerge/>
            <w:tcBorders>
              <w:left w:val="single" w:sz="4" w:space="0" w:color="FFFFFF" w:themeColor="background1"/>
            </w:tcBorders>
            <w:hideMark/>
          </w:tcPr>
          <w:p w:rsidR="003B3FF3" w:rsidRPr="00037AAC" w:rsidRDefault="003B3FF3" w:rsidP="00A31B2E">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r>
      <w:tr w:rsidR="00A31B2E" w:rsidRPr="00037AAC" w:rsidTr="001A4D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Área de servicio a la ciudadanía</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0,89</w:t>
            </w: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7,00</w:t>
            </w: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1,38</w:t>
            </w: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2,51</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1,50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49" w:type="dxa"/>
            <w:shd w:val="clear" w:color="auto" w:fill="FF0000"/>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10,50</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3,96</w:t>
            </w:r>
          </w:p>
        </w:tc>
      </w:tr>
      <w:tr w:rsidR="00382270" w:rsidRPr="00037AAC" w:rsidTr="001A4D2D">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Dirección de gestión corporativa y cid</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26,00</w:t>
            </w:r>
          </w:p>
        </w:tc>
        <w:tc>
          <w:tcPr>
            <w:tcW w:w="729"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16,75</w:t>
            </w:r>
          </w:p>
        </w:tc>
        <w:tc>
          <w:tcPr>
            <w:tcW w:w="880"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16,50</w:t>
            </w:r>
          </w:p>
        </w:tc>
        <w:tc>
          <w:tcPr>
            <w:tcW w:w="879"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15,30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5,00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49"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10,33</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10,00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14,27</w:t>
            </w:r>
          </w:p>
        </w:tc>
      </w:tr>
      <w:tr w:rsidR="00A31B2E" w:rsidRPr="00037AAC" w:rsidTr="003822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Dirección de mejoramiento de barrios</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7,00</w:t>
            </w: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11,14</w:t>
            </w: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10,71</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14,50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14,67</w:t>
            </w: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6,93</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7,33</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10,33</w:t>
            </w:r>
          </w:p>
        </w:tc>
      </w:tr>
      <w:tr w:rsidR="00382270" w:rsidRPr="00037AAC" w:rsidTr="00382270">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Dirección de mejoramiento de vivienda</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25,00</w:t>
            </w: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11,88</w:t>
            </w:r>
          </w:p>
        </w:tc>
        <w:tc>
          <w:tcPr>
            <w:tcW w:w="87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9,47</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7,33</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2,00</w:t>
            </w: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9,00</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5,60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10,04</w:t>
            </w:r>
          </w:p>
        </w:tc>
      </w:tr>
      <w:tr w:rsidR="00A31B2E" w:rsidRPr="00037AAC" w:rsidTr="001A4D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Dirección de reasentamientos humanos</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17,67</w:t>
            </w:r>
          </w:p>
        </w:tc>
        <w:tc>
          <w:tcPr>
            <w:tcW w:w="729" w:type="dxa"/>
            <w:shd w:val="clear" w:color="auto" w:fill="FF0000"/>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16,00</w:t>
            </w: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11,70</w:t>
            </w: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11,01</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12,21</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11,67</w:t>
            </w: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9,67</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8,19</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13,00</w:t>
            </w: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12,35</w:t>
            </w:r>
          </w:p>
        </w:tc>
      </w:tr>
      <w:tr w:rsidR="00382270" w:rsidRPr="00037AAC" w:rsidTr="001A4D2D">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Dirección de urbanizaciones y titulación</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16,00</w:t>
            </w: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8,22</w:t>
            </w:r>
          </w:p>
        </w:tc>
        <w:tc>
          <w:tcPr>
            <w:tcW w:w="87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9,23</w:t>
            </w:r>
          </w:p>
        </w:tc>
        <w:tc>
          <w:tcPr>
            <w:tcW w:w="667"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20,00</w:t>
            </w: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8,67</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5,00</w:t>
            </w: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7,87</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6,34</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10,16</w:t>
            </w:r>
          </w:p>
        </w:tc>
      </w:tr>
      <w:tr w:rsidR="00A31B2E" w:rsidRPr="00037AAC" w:rsidTr="003822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color w:val="000000"/>
                <w:sz w:val="18"/>
                <w:szCs w:val="18"/>
                <w:lang w:eastAsia="es-CO"/>
              </w:rPr>
            </w:pPr>
            <w:r w:rsidRPr="00B943B1">
              <w:rPr>
                <w:rFonts w:ascii="Arial" w:eastAsia="Times New Roman" w:hAnsi="Arial" w:cs="Arial"/>
                <w:b w:val="0"/>
                <w:color w:val="000000"/>
                <w:sz w:val="18"/>
                <w:szCs w:val="18"/>
                <w:lang w:eastAsia="es-CO"/>
              </w:rPr>
              <w:t>Oficina asesora de comunicaciones</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11,00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2,00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10,00</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7,67</w:t>
            </w:r>
          </w:p>
        </w:tc>
      </w:tr>
      <w:tr w:rsidR="00382270" w:rsidRPr="00037AAC" w:rsidTr="00382270">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Oficina asesora de planeación</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7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8,00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5,67</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6,83</w:t>
            </w:r>
          </w:p>
        </w:tc>
      </w:tr>
      <w:tr w:rsidR="00A31B2E" w:rsidRPr="00037AAC" w:rsidTr="001A4D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color w:val="000000"/>
                <w:sz w:val="18"/>
                <w:szCs w:val="18"/>
                <w:lang w:eastAsia="es-CO"/>
              </w:rPr>
            </w:pPr>
            <w:r w:rsidRPr="00B943B1">
              <w:rPr>
                <w:rFonts w:ascii="Arial" w:eastAsia="Times New Roman" w:hAnsi="Arial" w:cs="Arial"/>
                <w:b w:val="0"/>
                <w:color w:val="000000"/>
                <w:sz w:val="18"/>
                <w:szCs w:val="18"/>
                <w:lang w:eastAsia="es-CO"/>
              </w:rPr>
              <w:t>Oficina tic</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79" w:type="dxa"/>
            <w:shd w:val="clear" w:color="auto" w:fill="FF0000"/>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16,50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16,50</w:t>
            </w:r>
          </w:p>
        </w:tc>
      </w:tr>
      <w:tr w:rsidR="00382270" w:rsidRPr="00037AAC" w:rsidTr="00382270">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subdirección administrativa</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15,00</w:t>
            </w:r>
          </w:p>
        </w:tc>
        <w:tc>
          <w:tcPr>
            <w:tcW w:w="87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7,60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7,67</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10,09</w:t>
            </w:r>
          </w:p>
        </w:tc>
      </w:tr>
      <w:tr w:rsidR="00A31B2E" w:rsidRPr="00037AAC" w:rsidTr="003822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sz w:val="18"/>
                <w:szCs w:val="18"/>
                <w:lang w:eastAsia="es-CO"/>
              </w:rPr>
            </w:pPr>
            <w:r w:rsidRPr="00B943B1">
              <w:rPr>
                <w:rFonts w:ascii="Arial" w:eastAsia="Times New Roman" w:hAnsi="Arial" w:cs="Arial"/>
                <w:b w:val="0"/>
                <w:sz w:val="18"/>
                <w:szCs w:val="18"/>
                <w:lang w:eastAsia="es-CO"/>
              </w:rPr>
              <w:t>Subdirección financiera</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5,14</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4,50</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2,40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4,01</w:t>
            </w:r>
          </w:p>
        </w:tc>
      </w:tr>
      <w:tr w:rsidR="00382270" w:rsidRPr="00037AAC" w:rsidTr="00382270">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color w:val="000000"/>
                <w:sz w:val="18"/>
                <w:szCs w:val="18"/>
                <w:lang w:eastAsia="es-CO"/>
              </w:rPr>
            </w:pPr>
            <w:r w:rsidRPr="00B943B1">
              <w:rPr>
                <w:rFonts w:ascii="Arial" w:eastAsia="Times New Roman" w:hAnsi="Arial" w:cs="Arial"/>
                <w:b w:val="0"/>
                <w:color w:val="000000"/>
                <w:sz w:val="18"/>
                <w:szCs w:val="18"/>
                <w:lang w:eastAsia="es-CO"/>
              </w:rPr>
              <w:t>Dirección general</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9,00</w:t>
            </w:r>
          </w:p>
        </w:tc>
        <w:tc>
          <w:tcPr>
            <w:tcW w:w="87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4,40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4,50</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5,97</w:t>
            </w:r>
          </w:p>
        </w:tc>
      </w:tr>
      <w:tr w:rsidR="00A31B2E" w:rsidRPr="00037AAC" w:rsidTr="0038227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color w:val="000000"/>
                <w:sz w:val="18"/>
                <w:szCs w:val="18"/>
                <w:lang w:eastAsia="es-CO"/>
              </w:rPr>
            </w:pPr>
            <w:r w:rsidRPr="00B943B1">
              <w:rPr>
                <w:rFonts w:ascii="Arial" w:eastAsia="Times New Roman" w:hAnsi="Arial" w:cs="Arial"/>
                <w:b w:val="0"/>
                <w:color w:val="000000"/>
                <w:sz w:val="18"/>
                <w:szCs w:val="18"/>
                <w:lang w:eastAsia="es-CO"/>
              </w:rPr>
              <w:t>Dirección jurídica</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5,00</w:t>
            </w: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9,00</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7,17</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7,06</w:t>
            </w:r>
          </w:p>
        </w:tc>
      </w:tr>
      <w:tr w:rsidR="00382270" w:rsidRPr="00037AAC" w:rsidTr="001A4D2D">
        <w:trPr>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b w:val="0"/>
                <w:color w:val="000000"/>
                <w:sz w:val="18"/>
                <w:szCs w:val="18"/>
                <w:lang w:eastAsia="es-CO"/>
              </w:rPr>
            </w:pPr>
            <w:r w:rsidRPr="00B943B1">
              <w:rPr>
                <w:rFonts w:ascii="Arial" w:eastAsia="Times New Roman" w:hAnsi="Arial" w:cs="Arial"/>
                <w:b w:val="0"/>
                <w:color w:val="000000"/>
                <w:sz w:val="18"/>
                <w:szCs w:val="18"/>
                <w:lang w:eastAsia="es-CO"/>
              </w:rPr>
              <w:t>Asesor de control interno</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2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8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879" w:type="dxa"/>
            <w:shd w:val="clear" w:color="auto" w:fill="FF0000"/>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18,00</w:t>
            </w: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91"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49"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8,50</w:t>
            </w:r>
          </w:p>
        </w:tc>
        <w:tc>
          <w:tcPr>
            <w:tcW w:w="708"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667"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c>
          <w:tcPr>
            <w:tcW w:w="770" w:type="dxa"/>
            <w:noWrap/>
            <w:vAlign w:val="center"/>
            <w:hideMark/>
          </w:tcPr>
          <w:p w:rsidR="00C05531" w:rsidRPr="00037AAC" w:rsidRDefault="00C05531" w:rsidP="00A31B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13,25</w:t>
            </w:r>
          </w:p>
        </w:tc>
      </w:tr>
      <w:tr w:rsidR="00A31B2E" w:rsidRPr="00037AAC" w:rsidTr="00DD2D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47" w:type="dxa"/>
            <w:vAlign w:val="center"/>
            <w:hideMark/>
          </w:tcPr>
          <w:p w:rsidR="00C05531" w:rsidRPr="00037AAC" w:rsidRDefault="00C05531" w:rsidP="00A31B2E">
            <w:pPr>
              <w:spacing w:after="0" w:line="240" w:lineRule="auto"/>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TOTAL</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15,43</w:t>
            </w:r>
          </w:p>
        </w:tc>
        <w:tc>
          <w:tcPr>
            <w:tcW w:w="72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13,25</w:t>
            </w:r>
          </w:p>
        </w:tc>
        <w:tc>
          <w:tcPr>
            <w:tcW w:w="88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9,98</w:t>
            </w:r>
          </w:p>
        </w:tc>
        <w:tc>
          <w:tcPr>
            <w:tcW w:w="87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9,85</w:t>
            </w:r>
          </w:p>
        </w:tc>
        <w:tc>
          <w:tcPr>
            <w:tcW w:w="667" w:type="dxa"/>
            <w:shd w:val="clear" w:color="auto" w:fill="FF0000"/>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CO"/>
              </w:rPr>
            </w:pPr>
            <w:r w:rsidRPr="00037AAC">
              <w:rPr>
                <w:rFonts w:ascii="Arial" w:eastAsia="Times New Roman" w:hAnsi="Arial" w:cs="Arial"/>
                <w:b/>
                <w:color w:val="FFFFFF" w:themeColor="background1"/>
                <w:sz w:val="18"/>
                <w:szCs w:val="18"/>
                <w:lang w:eastAsia="es-CO"/>
              </w:rPr>
              <w:t>20,00</w:t>
            </w:r>
          </w:p>
        </w:tc>
        <w:tc>
          <w:tcPr>
            <w:tcW w:w="691"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7,32</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8,33</w:t>
            </w:r>
          </w:p>
        </w:tc>
        <w:tc>
          <w:tcPr>
            <w:tcW w:w="749"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7,87</w:t>
            </w:r>
          </w:p>
        </w:tc>
        <w:tc>
          <w:tcPr>
            <w:tcW w:w="708"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6,64</w:t>
            </w:r>
          </w:p>
        </w:tc>
        <w:tc>
          <w:tcPr>
            <w:tcW w:w="667"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13,00</w:t>
            </w:r>
          </w:p>
        </w:tc>
        <w:tc>
          <w:tcPr>
            <w:tcW w:w="770" w:type="dxa"/>
            <w:noWrap/>
            <w:vAlign w:val="center"/>
            <w:hideMark/>
          </w:tcPr>
          <w:p w:rsidR="00C05531" w:rsidRPr="00037AAC" w:rsidRDefault="00C05531" w:rsidP="00A31B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37AAC">
              <w:rPr>
                <w:rFonts w:ascii="Arial" w:eastAsia="Times New Roman" w:hAnsi="Arial" w:cs="Arial"/>
                <w:color w:val="000000"/>
                <w:sz w:val="18"/>
                <w:szCs w:val="18"/>
                <w:lang w:eastAsia="es-CO"/>
              </w:rPr>
              <w:t>9,68</w:t>
            </w:r>
          </w:p>
        </w:tc>
      </w:tr>
    </w:tbl>
    <w:p w:rsidR="006138FD" w:rsidRPr="007E2536" w:rsidRDefault="006138F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7A5813" w:rsidRDefault="001C3CF6" w:rsidP="007A5813">
      <w:pPr>
        <w:spacing w:after="0" w:line="240" w:lineRule="auto"/>
        <w:jc w:val="both"/>
        <w:rPr>
          <w:rFonts w:ascii="Arial" w:hAnsi="Arial" w:cs="Arial"/>
          <w:sz w:val="24"/>
          <w:szCs w:val="24"/>
          <w:lang w:val="es-ES"/>
        </w:rPr>
      </w:pPr>
      <w:r>
        <w:rPr>
          <w:rFonts w:ascii="Arial" w:hAnsi="Arial" w:cs="Arial"/>
          <w:sz w:val="24"/>
          <w:szCs w:val="24"/>
          <w:lang w:val="es-ES"/>
        </w:rPr>
        <w:t xml:space="preserve">En términos generales, </w:t>
      </w:r>
      <w:r w:rsidR="007A5813">
        <w:rPr>
          <w:rFonts w:ascii="Arial" w:hAnsi="Arial" w:cs="Arial"/>
          <w:sz w:val="24"/>
          <w:szCs w:val="24"/>
          <w:lang w:val="es-ES"/>
        </w:rPr>
        <w:t>p</w:t>
      </w:r>
      <w:r w:rsidR="007A5813" w:rsidRPr="00DF7866">
        <w:rPr>
          <w:rFonts w:ascii="Arial" w:hAnsi="Arial" w:cs="Arial"/>
          <w:sz w:val="24"/>
          <w:szCs w:val="24"/>
          <w:lang w:val="es-ES"/>
        </w:rPr>
        <w:t xml:space="preserve">odemos determinar que la entidad </w:t>
      </w:r>
      <w:r w:rsidR="007A5813">
        <w:rPr>
          <w:rFonts w:ascii="Arial" w:hAnsi="Arial" w:cs="Arial"/>
          <w:sz w:val="24"/>
          <w:szCs w:val="24"/>
          <w:lang w:val="es-ES"/>
        </w:rPr>
        <w:t xml:space="preserve">utilizo </w:t>
      </w:r>
      <w:r w:rsidR="00B665C1">
        <w:rPr>
          <w:rFonts w:ascii="Arial" w:hAnsi="Arial" w:cs="Arial"/>
          <w:sz w:val="24"/>
          <w:szCs w:val="24"/>
          <w:lang w:val="es-ES"/>
        </w:rPr>
        <w:t>9,68</w:t>
      </w:r>
      <w:r w:rsidR="007A5813">
        <w:rPr>
          <w:rFonts w:ascii="Arial" w:hAnsi="Arial" w:cs="Arial"/>
          <w:sz w:val="24"/>
          <w:szCs w:val="24"/>
          <w:lang w:val="es-ES"/>
        </w:rPr>
        <w:t xml:space="preserve"> </w:t>
      </w:r>
      <w:r w:rsidR="007A5813" w:rsidRPr="00DF7866">
        <w:rPr>
          <w:rFonts w:ascii="Arial" w:hAnsi="Arial" w:cs="Arial"/>
          <w:sz w:val="24"/>
          <w:szCs w:val="24"/>
          <w:lang w:val="es-ES"/>
        </w:rPr>
        <w:t xml:space="preserve">días hábiles promedio, frente al límite promedio máximo de </w:t>
      </w:r>
      <w:r w:rsidR="007A5813">
        <w:rPr>
          <w:rFonts w:ascii="Arial" w:hAnsi="Arial" w:cs="Arial"/>
          <w:sz w:val="24"/>
          <w:szCs w:val="24"/>
          <w:lang w:val="es-ES"/>
        </w:rPr>
        <w:t>15,</w:t>
      </w:r>
      <w:r w:rsidR="00B665C1">
        <w:rPr>
          <w:rFonts w:ascii="Arial" w:hAnsi="Arial" w:cs="Arial"/>
          <w:sz w:val="24"/>
          <w:szCs w:val="24"/>
          <w:lang w:val="es-ES"/>
        </w:rPr>
        <w:t>50</w:t>
      </w:r>
      <w:r w:rsidR="007A5813">
        <w:rPr>
          <w:rFonts w:ascii="Arial" w:hAnsi="Arial" w:cs="Arial"/>
          <w:sz w:val="24"/>
          <w:szCs w:val="24"/>
          <w:lang w:val="es-ES"/>
        </w:rPr>
        <w:t xml:space="preserve"> </w:t>
      </w:r>
      <w:r w:rsidR="007A5813" w:rsidRPr="00DF7866">
        <w:rPr>
          <w:rFonts w:ascii="Arial" w:hAnsi="Arial" w:cs="Arial"/>
          <w:sz w:val="24"/>
          <w:szCs w:val="24"/>
          <w:lang w:val="es-ES"/>
        </w:rPr>
        <w:t>días hábiles</w:t>
      </w:r>
      <w:r w:rsidR="007A5813">
        <w:rPr>
          <w:rFonts w:ascii="Arial" w:hAnsi="Arial" w:cs="Arial"/>
          <w:sz w:val="24"/>
          <w:szCs w:val="24"/>
          <w:lang w:val="es-ES"/>
        </w:rPr>
        <w:t xml:space="preserve"> </w:t>
      </w:r>
      <w:r w:rsidR="00B665C1" w:rsidRPr="00DF7866">
        <w:rPr>
          <w:rFonts w:ascii="Arial" w:hAnsi="Arial" w:cs="Arial"/>
          <w:sz w:val="24"/>
          <w:szCs w:val="24"/>
          <w:lang w:val="es-ES"/>
        </w:rPr>
        <w:t xml:space="preserve">en la gestión de las </w:t>
      </w:r>
      <w:r w:rsidR="00B665C1">
        <w:rPr>
          <w:rFonts w:ascii="Arial" w:hAnsi="Arial" w:cs="Arial"/>
          <w:sz w:val="24"/>
          <w:szCs w:val="24"/>
          <w:lang w:val="es-ES"/>
        </w:rPr>
        <w:t xml:space="preserve">2.118 </w:t>
      </w:r>
      <w:r w:rsidR="00B665C1" w:rsidRPr="00DF7866">
        <w:rPr>
          <w:rFonts w:ascii="Arial" w:hAnsi="Arial" w:cs="Arial"/>
          <w:sz w:val="24"/>
          <w:szCs w:val="24"/>
          <w:lang w:val="es-ES"/>
        </w:rPr>
        <w:t xml:space="preserve">PQRSD para </w:t>
      </w:r>
      <w:r w:rsidR="00B665C1">
        <w:rPr>
          <w:rFonts w:ascii="Arial" w:hAnsi="Arial" w:cs="Arial"/>
          <w:sz w:val="24"/>
          <w:szCs w:val="24"/>
          <w:lang w:val="es-ES"/>
        </w:rPr>
        <w:t xml:space="preserve">el primer semestre de 2019. Esto representa </w:t>
      </w:r>
      <w:r w:rsidR="00B665C1" w:rsidRPr="00DF7866">
        <w:rPr>
          <w:rFonts w:ascii="Arial" w:hAnsi="Arial" w:cs="Arial"/>
          <w:sz w:val="24"/>
          <w:szCs w:val="24"/>
          <w:lang w:val="es-ES"/>
        </w:rPr>
        <w:t xml:space="preserve">un ahorro del </w:t>
      </w:r>
      <w:r w:rsidR="00B665C1">
        <w:rPr>
          <w:rFonts w:ascii="Arial" w:hAnsi="Arial" w:cs="Arial"/>
          <w:sz w:val="24"/>
          <w:szCs w:val="24"/>
          <w:lang w:val="es-ES"/>
        </w:rPr>
        <w:t>5,82</w:t>
      </w:r>
      <w:r w:rsidR="00B665C1" w:rsidRPr="00DF7866">
        <w:rPr>
          <w:rFonts w:ascii="Arial" w:hAnsi="Arial" w:cs="Arial"/>
          <w:sz w:val="24"/>
          <w:szCs w:val="24"/>
          <w:lang w:val="es-ES"/>
        </w:rPr>
        <w:t xml:space="preserve"> </w:t>
      </w:r>
      <w:r w:rsidR="00B665C1">
        <w:rPr>
          <w:rFonts w:ascii="Arial" w:hAnsi="Arial" w:cs="Arial"/>
          <w:sz w:val="24"/>
          <w:szCs w:val="24"/>
          <w:lang w:val="es-ES"/>
        </w:rPr>
        <w:t>días hábiles promedio.</w:t>
      </w:r>
    </w:p>
    <w:p w:rsidR="00424D81" w:rsidRDefault="00424D81" w:rsidP="00EF1BFD">
      <w:pPr>
        <w:spacing w:after="0" w:line="240" w:lineRule="auto"/>
        <w:jc w:val="both"/>
        <w:rPr>
          <w:rFonts w:ascii="Arial" w:hAnsi="Arial" w:cs="Arial"/>
          <w:sz w:val="24"/>
          <w:szCs w:val="24"/>
          <w:lang w:val="es-ES"/>
        </w:rPr>
      </w:pPr>
    </w:p>
    <w:p w:rsidR="00B43799" w:rsidRDefault="00B43799" w:rsidP="00EF1BFD">
      <w:pPr>
        <w:spacing w:after="0" w:line="240" w:lineRule="auto"/>
        <w:jc w:val="both"/>
        <w:rPr>
          <w:rFonts w:ascii="Arial" w:hAnsi="Arial" w:cs="Arial"/>
          <w:sz w:val="24"/>
          <w:szCs w:val="24"/>
          <w:lang w:val="es-ES"/>
        </w:rPr>
      </w:pPr>
      <w:r>
        <w:rPr>
          <w:rFonts w:ascii="Arial" w:hAnsi="Arial" w:cs="Arial"/>
          <w:sz w:val="24"/>
          <w:szCs w:val="24"/>
          <w:lang w:val="es-ES"/>
        </w:rPr>
        <w:t xml:space="preserve">De igual manera se identifica que, por el volumen </w:t>
      </w:r>
      <w:r w:rsidR="009C710D">
        <w:rPr>
          <w:rFonts w:ascii="Arial" w:hAnsi="Arial" w:cs="Arial"/>
          <w:sz w:val="24"/>
          <w:szCs w:val="24"/>
          <w:lang w:val="es-ES"/>
        </w:rPr>
        <w:t xml:space="preserve">PQRSD recibidas vs Solucionadas, </w:t>
      </w:r>
      <w:r>
        <w:rPr>
          <w:rFonts w:ascii="Arial" w:hAnsi="Arial" w:cs="Arial"/>
          <w:sz w:val="24"/>
          <w:szCs w:val="24"/>
          <w:lang w:val="es-ES"/>
        </w:rPr>
        <w:t>l</w:t>
      </w:r>
      <w:r w:rsidRPr="00DF7866">
        <w:rPr>
          <w:rFonts w:ascii="Arial" w:hAnsi="Arial" w:cs="Arial"/>
          <w:sz w:val="24"/>
          <w:szCs w:val="24"/>
          <w:lang w:val="es-ES"/>
        </w:rPr>
        <w:t>a</w:t>
      </w:r>
      <w:r w:rsidR="00A16331">
        <w:rPr>
          <w:rFonts w:ascii="Arial" w:hAnsi="Arial" w:cs="Arial"/>
          <w:sz w:val="24"/>
          <w:szCs w:val="24"/>
          <w:lang w:val="es-ES"/>
        </w:rPr>
        <w:t xml:space="preserve"> </w:t>
      </w:r>
      <w:r w:rsidR="00A16331" w:rsidRPr="00A16331">
        <w:rPr>
          <w:rFonts w:ascii="Arial" w:hAnsi="Arial" w:cs="Arial"/>
          <w:sz w:val="24"/>
          <w:szCs w:val="24"/>
          <w:lang w:val="es-ES"/>
        </w:rPr>
        <w:t>Dirección De Urbanizaciones Y Titulación</w:t>
      </w:r>
      <w:r>
        <w:rPr>
          <w:rFonts w:ascii="Arial" w:eastAsia="Times New Roman" w:hAnsi="Arial" w:cs="Arial"/>
          <w:sz w:val="24"/>
          <w:szCs w:val="24"/>
          <w:lang w:eastAsia="es-CO"/>
        </w:rPr>
        <w:t xml:space="preserve"> 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PQRSD obt</w:t>
      </w:r>
      <w:r w:rsidR="009C710D">
        <w:rPr>
          <w:rFonts w:ascii="Arial" w:hAnsi="Arial" w:cs="Arial"/>
          <w:sz w:val="24"/>
          <w:szCs w:val="24"/>
          <w:lang w:val="es-ES"/>
        </w:rPr>
        <w:t xml:space="preserve">uvo, con </w:t>
      </w:r>
      <w:r>
        <w:rPr>
          <w:rFonts w:ascii="Arial" w:hAnsi="Arial" w:cs="Arial"/>
          <w:sz w:val="24"/>
          <w:szCs w:val="24"/>
          <w:lang w:val="es-ES"/>
        </w:rPr>
        <w:t xml:space="preserve">un </w:t>
      </w:r>
      <w:r w:rsidRPr="00DF7866">
        <w:rPr>
          <w:rFonts w:ascii="Arial" w:hAnsi="Arial" w:cs="Arial"/>
          <w:sz w:val="24"/>
          <w:szCs w:val="24"/>
          <w:lang w:val="es-ES"/>
        </w:rPr>
        <w:t xml:space="preserve">promedio de </w:t>
      </w:r>
      <w:r w:rsidR="009C710D">
        <w:rPr>
          <w:rFonts w:ascii="Arial" w:hAnsi="Arial" w:cs="Arial"/>
          <w:sz w:val="24"/>
          <w:szCs w:val="24"/>
          <w:lang w:val="es-ES"/>
        </w:rPr>
        <w:t>10,16</w:t>
      </w:r>
      <w:r>
        <w:rPr>
          <w:rFonts w:ascii="Arial" w:hAnsi="Arial" w:cs="Arial"/>
          <w:sz w:val="24"/>
          <w:szCs w:val="24"/>
          <w:lang w:val="es-ES"/>
        </w:rPr>
        <w:t xml:space="preserve"> </w:t>
      </w:r>
      <w:r w:rsidRPr="00DF7866">
        <w:rPr>
          <w:rFonts w:ascii="Arial" w:hAnsi="Arial" w:cs="Arial"/>
          <w:sz w:val="24"/>
          <w:szCs w:val="24"/>
          <w:lang w:val="es-ES"/>
        </w:rPr>
        <w:t>días hábiles</w:t>
      </w:r>
      <w:r w:rsidR="007022D5">
        <w:rPr>
          <w:rFonts w:ascii="Arial" w:hAnsi="Arial" w:cs="Arial"/>
          <w:sz w:val="24"/>
          <w:szCs w:val="24"/>
          <w:lang w:val="es-ES"/>
        </w:rPr>
        <w:t xml:space="preserve"> promedio</w:t>
      </w:r>
      <w:r>
        <w:rPr>
          <w:rFonts w:ascii="Arial" w:hAnsi="Arial" w:cs="Arial"/>
          <w:sz w:val="24"/>
          <w:szCs w:val="24"/>
          <w:lang w:val="es-ES"/>
        </w:rPr>
        <w:t xml:space="preserve">, </w:t>
      </w:r>
      <w:r w:rsidRPr="00DF7866">
        <w:rPr>
          <w:rFonts w:ascii="Arial" w:hAnsi="Arial" w:cs="Arial"/>
          <w:sz w:val="24"/>
          <w:szCs w:val="24"/>
          <w:lang w:val="es-ES"/>
        </w:rPr>
        <w:t xml:space="preserve">de los </w:t>
      </w:r>
      <w:r w:rsidR="00BF5512">
        <w:rPr>
          <w:rFonts w:ascii="Arial" w:hAnsi="Arial" w:cs="Arial"/>
          <w:sz w:val="24"/>
          <w:szCs w:val="24"/>
          <w:lang w:val="es-ES"/>
        </w:rPr>
        <w:t xml:space="preserve">15,63 </w:t>
      </w:r>
      <w:r w:rsidRPr="00DF7866">
        <w:rPr>
          <w:rFonts w:ascii="Arial" w:hAnsi="Arial" w:cs="Arial"/>
          <w:sz w:val="24"/>
          <w:szCs w:val="24"/>
          <w:lang w:val="es-ES"/>
        </w:rPr>
        <w:t xml:space="preserve">días hábiles máximos </w:t>
      </w:r>
      <w:r w:rsidR="007022D5">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xml:space="preserve">, para las </w:t>
      </w:r>
      <w:r w:rsidR="007022D5">
        <w:rPr>
          <w:rFonts w:ascii="Arial" w:hAnsi="Arial" w:cs="Arial"/>
          <w:sz w:val="24"/>
          <w:szCs w:val="24"/>
          <w:lang w:val="es-ES"/>
        </w:rPr>
        <w:t>700</w:t>
      </w:r>
      <w:r>
        <w:rPr>
          <w:rFonts w:ascii="Arial" w:hAnsi="Arial" w:cs="Arial"/>
          <w:sz w:val="24"/>
          <w:szCs w:val="24"/>
          <w:lang w:val="es-ES"/>
        </w:rPr>
        <w:t xml:space="preserve"> PQRSD solucionadas</w:t>
      </w:r>
      <w:r w:rsidRPr="00DF7866">
        <w:rPr>
          <w:rFonts w:ascii="Arial" w:hAnsi="Arial" w:cs="Arial"/>
          <w:sz w:val="24"/>
          <w:szCs w:val="24"/>
          <w:lang w:val="es-ES"/>
        </w:rPr>
        <w:t>.</w:t>
      </w:r>
    </w:p>
    <w:p w:rsidR="00B43799" w:rsidRDefault="00B43799" w:rsidP="00EF1BFD">
      <w:pPr>
        <w:spacing w:after="0" w:line="240" w:lineRule="auto"/>
        <w:jc w:val="both"/>
        <w:rPr>
          <w:rFonts w:ascii="Arial" w:hAnsi="Arial" w:cs="Arial"/>
          <w:sz w:val="24"/>
          <w:szCs w:val="24"/>
          <w:lang w:val="es-ES"/>
        </w:rPr>
      </w:pPr>
    </w:p>
    <w:p w:rsidR="00B43799" w:rsidRDefault="00B43799" w:rsidP="00D07A60">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la “</w:t>
      </w:r>
      <w:r w:rsidR="003E7152">
        <w:rPr>
          <w:rFonts w:ascii="Arial" w:hAnsi="Arial" w:cs="Arial"/>
          <w:sz w:val="24"/>
          <w:szCs w:val="24"/>
          <w:lang w:val="es-ES"/>
        </w:rPr>
        <w:t>Consulta</w:t>
      </w:r>
      <w:r w:rsidR="00A851DE">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3E7152">
        <w:rPr>
          <w:rFonts w:ascii="Arial" w:hAnsi="Arial" w:cs="Arial"/>
          <w:sz w:val="24"/>
          <w:szCs w:val="24"/>
          <w:lang w:val="es-ES"/>
        </w:rPr>
        <w:t>48,48</w:t>
      </w:r>
      <w:r w:rsidRPr="00DF7866">
        <w:rPr>
          <w:rFonts w:ascii="Arial" w:hAnsi="Arial" w:cs="Arial"/>
          <w:sz w:val="24"/>
          <w:szCs w:val="24"/>
          <w:lang w:val="es-ES"/>
        </w:rPr>
        <w:t>% (</w:t>
      </w:r>
      <w:r w:rsidR="003E7152">
        <w:rPr>
          <w:rFonts w:ascii="Arial" w:hAnsi="Arial" w:cs="Arial"/>
          <w:sz w:val="24"/>
          <w:szCs w:val="24"/>
          <w:lang w:val="es-ES"/>
        </w:rPr>
        <w:t>14,57</w:t>
      </w:r>
      <w:r>
        <w:rPr>
          <w:rFonts w:ascii="Arial" w:hAnsi="Arial" w:cs="Arial"/>
          <w:sz w:val="24"/>
          <w:szCs w:val="24"/>
          <w:lang w:val="es-ES"/>
        </w:rPr>
        <w:t xml:space="preserve"> </w:t>
      </w:r>
      <w:r w:rsidRPr="00DF7866">
        <w:rPr>
          <w:rFonts w:ascii="Arial" w:hAnsi="Arial" w:cs="Arial"/>
          <w:sz w:val="24"/>
          <w:szCs w:val="24"/>
          <w:lang w:val="es-ES"/>
        </w:rPr>
        <w:t>días hábiles</w:t>
      </w:r>
      <w:r w:rsidR="003E715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sidR="003E7152">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F85AD4">
        <w:rPr>
          <w:rFonts w:ascii="Arial" w:hAnsi="Arial" w:cs="Arial"/>
          <w:sz w:val="24"/>
          <w:szCs w:val="24"/>
        </w:rPr>
        <w:t>Denuncias por Actos de Corrupción</w:t>
      </w:r>
      <w:r w:rsidR="003E7152">
        <w:rPr>
          <w:rFonts w:ascii="Arial" w:hAnsi="Arial" w:cs="Arial"/>
          <w:sz w:val="24"/>
          <w:szCs w:val="24"/>
        </w:rPr>
        <w:t>”</w:t>
      </w:r>
      <w:r w:rsidRPr="00DF7866">
        <w:rPr>
          <w:rFonts w:ascii="Arial" w:hAnsi="Arial" w:cs="Arial"/>
          <w:sz w:val="24"/>
          <w:szCs w:val="24"/>
        </w:rPr>
        <w:t xml:space="preserve"> ya que se dio respuesta utilizando el </w:t>
      </w:r>
      <w:r w:rsidR="00F85AD4">
        <w:rPr>
          <w:rFonts w:ascii="Arial" w:hAnsi="Arial" w:cs="Arial"/>
          <w:sz w:val="24"/>
          <w:szCs w:val="24"/>
        </w:rPr>
        <w:t>88,33</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F85AD4">
        <w:rPr>
          <w:rFonts w:ascii="Arial" w:hAnsi="Arial" w:cs="Arial"/>
          <w:sz w:val="24"/>
          <w:szCs w:val="24"/>
        </w:rPr>
        <w:t>13,25</w:t>
      </w:r>
      <w:r w:rsidR="00E14220">
        <w:rPr>
          <w:rFonts w:ascii="Arial" w:hAnsi="Arial" w:cs="Arial"/>
          <w:sz w:val="24"/>
          <w:szCs w:val="24"/>
        </w:rPr>
        <w:t xml:space="preserve">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B43799" w:rsidRDefault="00B43799" w:rsidP="00D07A60">
      <w:pPr>
        <w:spacing w:after="0" w:line="240" w:lineRule="auto"/>
        <w:jc w:val="both"/>
        <w:rPr>
          <w:rFonts w:ascii="Arial" w:hAnsi="Arial" w:cs="Arial"/>
          <w:sz w:val="24"/>
          <w:szCs w:val="24"/>
        </w:rPr>
      </w:pPr>
    </w:p>
    <w:p w:rsidR="00D07A60" w:rsidRDefault="00D07A60" w:rsidP="00D07A60">
      <w:pPr>
        <w:spacing w:after="0" w:line="240" w:lineRule="auto"/>
        <w:jc w:val="both"/>
        <w:rPr>
          <w:rFonts w:ascii="Arial" w:hAnsi="Arial" w:cs="Arial"/>
          <w:sz w:val="24"/>
          <w:szCs w:val="24"/>
        </w:rPr>
      </w:pPr>
    </w:p>
    <w:p w:rsidR="00B43799" w:rsidRPr="007D0E69" w:rsidRDefault="00B43799" w:rsidP="00D07A60">
      <w:pPr>
        <w:pStyle w:val="Ttulo2"/>
        <w:spacing w:before="0" w:after="0" w:line="240" w:lineRule="auto"/>
      </w:pPr>
      <w:bookmarkStart w:id="36" w:name="_Toc520871359"/>
      <w:bookmarkStart w:id="37" w:name="_Toc520889933"/>
      <w:bookmarkStart w:id="38" w:name="_Toc535239894"/>
      <w:bookmarkStart w:id="39" w:name="_Toc3271542"/>
      <w:bookmarkStart w:id="40" w:name="_Toc6996655"/>
      <w:bookmarkStart w:id="41" w:name="_Toc11337905"/>
      <w:bookmarkStart w:id="42" w:name="_Toc16758378"/>
      <w:r w:rsidRPr="007D0E69">
        <w:t>Análisis de las Respuestas con Cierre Oportuno</w:t>
      </w:r>
      <w:bookmarkEnd w:id="36"/>
      <w:bookmarkEnd w:id="37"/>
      <w:bookmarkEnd w:id="38"/>
      <w:bookmarkEnd w:id="39"/>
      <w:bookmarkEnd w:id="40"/>
      <w:bookmarkEnd w:id="41"/>
      <w:bookmarkEnd w:id="42"/>
    </w:p>
    <w:p w:rsidR="00C75EFF" w:rsidRDefault="00C75EFF" w:rsidP="00D07A60">
      <w:pPr>
        <w:spacing w:after="0" w:line="240" w:lineRule="auto"/>
        <w:jc w:val="both"/>
        <w:rPr>
          <w:rFonts w:ascii="Arial" w:hAnsi="Arial" w:cs="Arial"/>
          <w:sz w:val="24"/>
          <w:szCs w:val="24"/>
          <w:lang w:val="es-ES"/>
        </w:rPr>
      </w:pPr>
    </w:p>
    <w:p w:rsidR="00A36DDE" w:rsidRDefault="00B43799" w:rsidP="00D07A60">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6E558E">
        <w:rPr>
          <w:rFonts w:ascii="Arial" w:hAnsi="Arial" w:cs="Arial"/>
          <w:sz w:val="24"/>
          <w:szCs w:val="24"/>
          <w:lang w:val="es-ES"/>
        </w:rPr>
        <w:t>2.118</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 solucionadas en</w:t>
      </w:r>
      <w:r w:rsidR="00B81DF9">
        <w:rPr>
          <w:rFonts w:ascii="Arial" w:hAnsi="Arial" w:cs="Arial"/>
          <w:sz w:val="24"/>
          <w:szCs w:val="24"/>
          <w:lang w:val="es-ES"/>
        </w:rPr>
        <w:t xml:space="preserve"> el primer semestre de 2019</w:t>
      </w:r>
      <w:r w:rsidRPr="00DF7866">
        <w:rPr>
          <w:rFonts w:ascii="Arial" w:hAnsi="Arial" w:cs="Arial"/>
          <w:sz w:val="24"/>
          <w:szCs w:val="24"/>
          <w:lang w:val="es-ES"/>
        </w:rPr>
        <w:t xml:space="preserve">, </w:t>
      </w:r>
      <w:r w:rsidR="00A933DD">
        <w:rPr>
          <w:rFonts w:ascii="Arial" w:hAnsi="Arial" w:cs="Arial"/>
          <w:sz w:val="24"/>
          <w:szCs w:val="24"/>
          <w:lang w:val="es-ES"/>
        </w:rPr>
        <w:t>1.906</w:t>
      </w:r>
      <w:r w:rsidRPr="00DF7866">
        <w:rPr>
          <w:rFonts w:ascii="Arial" w:hAnsi="Arial" w:cs="Arial"/>
          <w:sz w:val="24"/>
          <w:szCs w:val="24"/>
          <w:lang w:val="es-ES"/>
        </w:rPr>
        <w:t xml:space="preserve"> (</w:t>
      </w:r>
      <w:r w:rsidR="00A933DD" w:rsidRPr="00A933DD">
        <w:rPr>
          <w:rFonts w:ascii="Arial" w:hAnsi="Arial" w:cs="Arial"/>
          <w:sz w:val="24"/>
          <w:szCs w:val="24"/>
          <w:lang w:val="es-ES"/>
        </w:rPr>
        <w:t>89,99</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 xml:space="preserve">. </w:t>
      </w:r>
      <w:r w:rsidR="00A36DDE">
        <w:rPr>
          <w:rFonts w:ascii="Arial" w:hAnsi="Arial" w:cs="Arial"/>
          <w:sz w:val="24"/>
          <w:szCs w:val="24"/>
          <w:lang w:val="es-ES"/>
        </w:rPr>
        <w:t>De las cuales 620 (</w:t>
      </w:r>
      <w:r w:rsidR="00A36DDE" w:rsidRPr="00A36DDE">
        <w:rPr>
          <w:rFonts w:ascii="Arial" w:hAnsi="Arial" w:cs="Arial"/>
          <w:sz w:val="24"/>
          <w:szCs w:val="24"/>
          <w:lang w:val="es-ES"/>
        </w:rPr>
        <w:t>29,27</w:t>
      </w:r>
      <w:r w:rsidR="00A36DDE">
        <w:rPr>
          <w:rFonts w:ascii="Arial" w:hAnsi="Arial" w:cs="Arial"/>
          <w:sz w:val="24"/>
          <w:szCs w:val="24"/>
          <w:lang w:val="es-ES"/>
        </w:rPr>
        <w:t>%) fueron solucionadas de manera anticipada.</w:t>
      </w:r>
    </w:p>
    <w:p w:rsidR="00A36DDE" w:rsidRDefault="00A36DDE" w:rsidP="00D07A60">
      <w:pPr>
        <w:spacing w:after="0" w:line="240" w:lineRule="auto"/>
        <w:jc w:val="both"/>
        <w:rPr>
          <w:rFonts w:ascii="Arial" w:hAnsi="Arial" w:cs="Arial"/>
          <w:sz w:val="24"/>
          <w:szCs w:val="24"/>
          <w:lang w:val="es-ES"/>
        </w:rPr>
      </w:pPr>
    </w:p>
    <w:p w:rsidR="00B43799" w:rsidRDefault="00B84A69" w:rsidP="00D07A60">
      <w:pPr>
        <w:spacing w:after="0" w:line="240" w:lineRule="auto"/>
        <w:jc w:val="both"/>
        <w:rPr>
          <w:rFonts w:ascii="Arial" w:hAnsi="Arial" w:cs="Arial"/>
          <w:sz w:val="24"/>
          <w:szCs w:val="24"/>
          <w:lang w:val="es-ES"/>
        </w:rPr>
      </w:pPr>
      <w:r>
        <w:rPr>
          <w:rFonts w:ascii="Arial" w:hAnsi="Arial" w:cs="Arial"/>
          <w:sz w:val="24"/>
          <w:szCs w:val="24"/>
          <w:lang w:val="es-ES"/>
        </w:rPr>
        <w:t>L</w:t>
      </w:r>
      <w:r w:rsidR="00B43799" w:rsidRPr="00DF7866">
        <w:rPr>
          <w:rFonts w:ascii="Arial" w:hAnsi="Arial" w:cs="Arial"/>
          <w:sz w:val="24"/>
          <w:szCs w:val="24"/>
          <w:lang w:val="es-ES"/>
        </w:rPr>
        <w:t xml:space="preserve">a tipología más gestionada fueron los </w:t>
      </w:r>
      <w:r w:rsidR="00B43799">
        <w:rPr>
          <w:rFonts w:ascii="Arial" w:hAnsi="Arial" w:cs="Arial"/>
          <w:sz w:val="24"/>
          <w:szCs w:val="24"/>
          <w:lang w:val="es-ES"/>
        </w:rPr>
        <w:t>“Derechos de Petición de Interés Particular”</w:t>
      </w:r>
      <w:r w:rsidR="00B43799" w:rsidRPr="00DF7866">
        <w:rPr>
          <w:rFonts w:ascii="Arial" w:hAnsi="Arial" w:cs="Arial"/>
          <w:sz w:val="24"/>
          <w:szCs w:val="24"/>
          <w:lang w:val="es-ES"/>
        </w:rPr>
        <w:t xml:space="preserve"> con un total de </w:t>
      </w:r>
      <w:r w:rsidR="006F2A8B">
        <w:rPr>
          <w:rFonts w:ascii="Arial" w:hAnsi="Arial" w:cs="Arial"/>
          <w:sz w:val="24"/>
          <w:szCs w:val="24"/>
          <w:lang w:val="es-ES"/>
        </w:rPr>
        <w:t xml:space="preserve">1.653 </w:t>
      </w:r>
      <w:r w:rsidR="00B43799" w:rsidRPr="00DF7866">
        <w:rPr>
          <w:rFonts w:ascii="Arial" w:hAnsi="Arial" w:cs="Arial"/>
          <w:sz w:val="24"/>
          <w:szCs w:val="24"/>
          <w:lang w:val="es-ES"/>
        </w:rPr>
        <w:t>(</w:t>
      </w:r>
      <w:r w:rsidR="006F2A8B" w:rsidRPr="006F2A8B">
        <w:rPr>
          <w:rFonts w:ascii="Arial" w:hAnsi="Arial" w:cs="Arial"/>
          <w:sz w:val="24"/>
          <w:szCs w:val="24"/>
          <w:lang w:val="es-ES"/>
        </w:rPr>
        <w:t>78,0</w:t>
      </w:r>
      <w:r w:rsidR="006F2A8B">
        <w:rPr>
          <w:rFonts w:ascii="Arial" w:hAnsi="Arial" w:cs="Arial"/>
          <w:sz w:val="24"/>
          <w:szCs w:val="24"/>
          <w:lang w:val="es-ES"/>
        </w:rPr>
        <w:t>5</w:t>
      </w:r>
      <w:r w:rsidR="00B43799" w:rsidRPr="00DF7866">
        <w:rPr>
          <w:rFonts w:ascii="Arial" w:hAnsi="Arial" w:cs="Arial"/>
          <w:sz w:val="24"/>
          <w:szCs w:val="24"/>
          <w:lang w:val="es-ES"/>
        </w:rPr>
        <w:t>%); y la dependencia que más gestiono las respuestas de manera oportuna a las PQRSD fue la</w:t>
      </w:r>
      <w:r w:rsidR="00AE692C">
        <w:rPr>
          <w:rFonts w:ascii="Arial" w:hAnsi="Arial" w:cs="Arial"/>
          <w:sz w:val="24"/>
          <w:szCs w:val="24"/>
          <w:lang w:val="es-ES"/>
        </w:rPr>
        <w:t xml:space="preserve"> </w:t>
      </w:r>
      <w:r w:rsidR="00B43799">
        <w:rPr>
          <w:rFonts w:ascii="Arial" w:hAnsi="Arial" w:cs="Arial"/>
          <w:sz w:val="24"/>
          <w:szCs w:val="24"/>
          <w:lang w:val="es-ES"/>
        </w:rPr>
        <w:t xml:space="preserve">Dirección de </w:t>
      </w:r>
      <w:r w:rsidR="00AE692C">
        <w:rPr>
          <w:rFonts w:ascii="Arial" w:hAnsi="Arial" w:cs="Arial"/>
          <w:sz w:val="24"/>
          <w:szCs w:val="24"/>
          <w:lang w:val="es-ES"/>
        </w:rPr>
        <w:t xml:space="preserve">Reasentamientos Humanos </w:t>
      </w:r>
      <w:r w:rsidR="00B43799">
        <w:rPr>
          <w:rFonts w:ascii="Arial" w:hAnsi="Arial" w:cs="Arial"/>
          <w:sz w:val="24"/>
          <w:szCs w:val="24"/>
          <w:lang w:val="es-ES"/>
        </w:rPr>
        <w:t>c</w:t>
      </w:r>
      <w:r w:rsidR="00B43799" w:rsidRPr="00DF7866">
        <w:rPr>
          <w:rFonts w:ascii="Arial" w:hAnsi="Arial" w:cs="Arial"/>
          <w:sz w:val="24"/>
          <w:szCs w:val="24"/>
          <w:lang w:val="es-ES"/>
        </w:rPr>
        <w:t xml:space="preserve">on un total de </w:t>
      </w:r>
      <w:r w:rsidR="00E15032">
        <w:rPr>
          <w:rFonts w:ascii="Arial" w:hAnsi="Arial" w:cs="Arial"/>
          <w:sz w:val="24"/>
          <w:szCs w:val="24"/>
          <w:lang w:val="es-ES"/>
        </w:rPr>
        <w:t>723</w:t>
      </w:r>
      <w:r w:rsidR="00B43799">
        <w:rPr>
          <w:rFonts w:ascii="Arial" w:hAnsi="Arial" w:cs="Arial"/>
          <w:sz w:val="24"/>
          <w:szCs w:val="24"/>
          <w:lang w:val="es-ES"/>
        </w:rPr>
        <w:t xml:space="preserve"> </w:t>
      </w:r>
      <w:r w:rsidR="00B43799" w:rsidRPr="00DF7866">
        <w:rPr>
          <w:rFonts w:ascii="Arial" w:hAnsi="Arial" w:cs="Arial"/>
          <w:sz w:val="24"/>
          <w:szCs w:val="24"/>
          <w:lang w:val="es-ES"/>
        </w:rPr>
        <w:t>(</w:t>
      </w:r>
      <w:r w:rsidR="00625BB4" w:rsidRPr="00625BB4">
        <w:rPr>
          <w:rFonts w:ascii="Arial" w:hAnsi="Arial" w:cs="Arial"/>
          <w:sz w:val="24"/>
          <w:szCs w:val="24"/>
          <w:lang w:val="es-ES"/>
        </w:rPr>
        <w:t>34,1</w:t>
      </w:r>
      <w:r w:rsidR="00625BB4">
        <w:rPr>
          <w:rFonts w:ascii="Arial" w:hAnsi="Arial" w:cs="Arial"/>
          <w:sz w:val="24"/>
          <w:szCs w:val="24"/>
          <w:lang w:val="es-ES"/>
        </w:rPr>
        <w:t>4</w:t>
      </w:r>
      <w:r w:rsidR="00B43799" w:rsidRPr="00DF7866">
        <w:rPr>
          <w:rFonts w:ascii="Arial" w:hAnsi="Arial" w:cs="Arial"/>
          <w:sz w:val="24"/>
          <w:szCs w:val="24"/>
          <w:lang w:val="es-ES"/>
        </w:rPr>
        <w:t xml:space="preserve">%). </w:t>
      </w:r>
    </w:p>
    <w:p w:rsidR="00CC7563" w:rsidRDefault="00CC7563" w:rsidP="00D07A60">
      <w:pPr>
        <w:spacing w:after="0" w:line="240" w:lineRule="auto"/>
        <w:rPr>
          <w:rFonts w:ascii="Arial" w:hAnsi="Arial" w:cs="Arial"/>
          <w:sz w:val="24"/>
          <w:szCs w:val="24"/>
          <w:lang w:val="es-ES"/>
        </w:rPr>
      </w:pPr>
    </w:p>
    <w:p w:rsidR="00D07A60" w:rsidRDefault="00D07A60" w:rsidP="00D07A60">
      <w:pPr>
        <w:spacing w:after="0" w:line="240" w:lineRule="auto"/>
        <w:rPr>
          <w:rFonts w:ascii="Arial" w:hAnsi="Arial" w:cs="Arial"/>
          <w:sz w:val="24"/>
          <w:szCs w:val="24"/>
          <w:lang w:val="es-ES"/>
        </w:rPr>
      </w:pPr>
    </w:p>
    <w:p w:rsidR="00FD567B" w:rsidRPr="00847EA1" w:rsidRDefault="00FD567B" w:rsidP="00D07A60">
      <w:pPr>
        <w:pStyle w:val="Ttulo2"/>
        <w:spacing w:before="0" w:after="0" w:line="240" w:lineRule="auto"/>
      </w:pPr>
      <w:bookmarkStart w:id="43" w:name="_Toc535239895"/>
      <w:bookmarkStart w:id="44" w:name="_Toc3271543"/>
      <w:bookmarkStart w:id="45" w:name="_Toc6996656"/>
      <w:bookmarkStart w:id="46" w:name="_Toc11337906"/>
      <w:bookmarkStart w:id="47" w:name="_Toc16758379"/>
      <w:r w:rsidRPr="00847EA1">
        <w:t>Análisis de las Respuestas con Cierre Inoportuno</w:t>
      </w:r>
      <w:bookmarkEnd w:id="43"/>
      <w:bookmarkEnd w:id="44"/>
      <w:bookmarkEnd w:id="45"/>
      <w:bookmarkEnd w:id="46"/>
      <w:bookmarkEnd w:id="47"/>
      <w:r w:rsidRPr="00847EA1">
        <w:t xml:space="preserve"> </w:t>
      </w:r>
    </w:p>
    <w:p w:rsidR="00FD567B" w:rsidRDefault="00FD567B" w:rsidP="00D07A60">
      <w:pPr>
        <w:spacing w:after="0" w:line="240" w:lineRule="auto"/>
        <w:jc w:val="both"/>
        <w:rPr>
          <w:rFonts w:ascii="Arial" w:hAnsi="Arial" w:cs="Arial"/>
          <w:sz w:val="24"/>
          <w:szCs w:val="24"/>
          <w:lang w:val="es-ES_tradnl"/>
        </w:rPr>
      </w:pPr>
    </w:p>
    <w:p w:rsidR="00FD567B" w:rsidRDefault="00FD567B" w:rsidP="00D07A60">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687F04">
        <w:rPr>
          <w:rFonts w:ascii="Arial" w:hAnsi="Arial" w:cs="Arial"/>
          <w:sz w:val="24"/>
          <w:szCs w:val="24"/>
          <w:lang w:val="es-ES_tradnl"/>
        </w:rPr>
        <w:t xml:space="preserve"> el primer semestre de 2019, s</w:t>
      </w:r>
      <w:r w:rsidRPr="00DF7866">
        <w:rPr>
          <w:rFonts w:ascii="Arial" w:hAnsi="Arial" w:cs="Arial"/>
          <w:sz w:val="24"/>
          <w:szCs w:val="24"/>
          <w:lang w:val="es-ES_tradnl"/>
        </w:rPr>
        <w:t xml:space="preserve">e identificaron que </w:t>
      </w:r>
      <w:r w:rsidR="00874675">
        <w:rPr>
          <w:rFonts w:ascii="Arial" w:hAnsi="Arial" w:cs="Arial"/>
          <w:sz w:val="24"/>
          <w:szCs w:val="24"/>
          <w:lang w:val="es-ES_tradnl"/>
        </w:rPr>
        <w:t>existieron 2</w:t>
      </w:r>
      <w:r w:rsidR="00397AAD">
        <w:rPr>
          <w:rFonts w:ascii="Arial" w:hAnsi="Arial" w:cs="Arial"/>
          <w:sz w:val="24"/>
          <w:szCs w:val="24"/>
          <w:lang w:val="es-ES_tradnl"/>
        </w:rPr>
        <w:t>20</w:t>
      </w:r>
      <w:r w:rsidR="00874675">
        <w:rPr>
          <w:rFonts w:ascii="Arial" w:hAnsi="Arial" w:cs="Arial"/>
          <w:sz w:val="24"/>
          <w:szCs w:val="24"/>
          <w:lang w:val="es-ES_tradnl"/>
        </w:rPr>
        <w:t xml:space="preserve">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w:t>
      </w:r>
      <w:r w:rsidR="00220A43">
        <w:rPr>
          <w:rFonts w:ascii="Arial" w:hAnsi="Arial" w:cs="Arial"/>
          <w:sz w:val="24"/>
          <w:szCs w:val="24"/>
          <w:lang w:val="es-ES_tradnl"/>
        </w:rPr>
        <w:t xml:space="preserve"> </w:t>
      </w:r>
      <w:r w:rsidRPr="00DF7866">
        <w:rPr>
          <w:rFonts w:ascii="Arial" w:hAnsi="Arial" w:cs="Arial"/>
          <w:sz w:val="24"/>
          <w:szCs w:val="24"/>
          <w:lang w:val="es-ES_tradnl"/>
        </w:rPr>
        <w:t>l</w:t>
      </w:r>
      <w:r w:rsidR="00220A43">
        <w:rPr>
          <w:rFonts w:ascii="Arial" w:hAnsi="Arial" w:cs="Arial"/>
          <w:sz w:val="24"/>
          <w:szCs w:val="24"/>
          <w:lang w:val="es-ES_tradnl"/>
        </w:rPr>
        <w:t>os</w:t>
      </w:r>
      <w:r w:rsidRPr="00DF7866">
        <w:rPr>
          <w:rFonts w:ascii="Arial" w:hAnsi="Arial" w:cs="Arial"/>
          <w:sz w:val="24"/>
          <w:szCs w:val="24"/>
          <w:lang w:val="es-ES_tradnl"/>
        </w:rPr>
        <w:t xml:space="preserve"> tiempo</w:t>
      </w:r>
      <w:r w:rsidR="00220A43">
        <w:rPr>
          <w:rFonts w:ascii="Arial" w:hAnsi="Arial" w:cs="Arial"/>
          <w:sz w:val="24"/>
          <w:szCs w:val="24"/>
          <w:lang w:val="es-ES_tradnl"/>
        </w:rPr>
        <w:t>s</w:t>
      </w:r>
      <w:r w:rsidRPr="00DF7866">
        <w:rPr>
          <w:rFonts w:ascii="Arial" w:hAnsi="Arial" w:cs="Arial"/>
          <w:sz w:val="24"/>
          <w:szCs w:val="24"/>
          <w:lang w:val="es-ES_tradnl"/>
        </w:rPr>
        <w:t xml:space="preserve"> determinado</w:t>
      </w:r>
      <w:r w:rsidR="00220A43">
        <w:rPr>
          <w:rFonts w:ascii="Arial" w:hAnsi="Arial" w:cs="Arial"/>
          <w:sz w:val="24"/>
          <w:szCs w:val="24"/>
          <w:lang w:val="es-ES_tradnl"/>
        </w:rPr>
        <w:t>s</w:t>
      </w:r>
      <w:r w:rsidRPr="00DF7866">
        <w:rPr>
          <w:rFonts w:ascii="Arial" w:hAnsi="Arial" w:cs="Arial"/>
          <w:sz w:val="24"/>
          <w:szCs w:val="24"/>
          <w:lang w:val="es-ES_tradnl"/>
        </w:rPr>
        <w:t xml:space="preserve">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solucionadas</w:t>
      </w:r>
      <w:r w:rsidR="005C3E5F">
        <w:rPr>
          <w:rFonts w:ascii="Arial" w:hAnsi="Arial" w:cs="Arial"/>
          <w:sz w:val="24"/>
          <w:szCs w:val="24"/>
          <w:lang w:val="es-ES_tradnl"/>
        </w:rPr>
        <w:t xml:space="preserve"> así: 10 </w:t>
      </w:r>
      <w:r w:rsidR="0092617A">
        <w:rPr>
          <w:rFonts w:ascii="Arial" w:hAnsi="Arial" w:cs="Arial"/>
          <w:sz w:val="24"/>
          <w:szCs w:val="24"/>
          <w:lang w:val="es-ES_tradnl"/>
        </w:rPr>
        <w:t>(</w:t>
      </w:r>
      <w:r w:rsidR="0092617A" w:rsidRPr="0092617A">
        <w:rPr>
          <w:rFonts w:ascii="Arial" w:hAnsi="Arial" w:cs="Arial"/>
          <w:sz w:val="24"/>
          <w:szCs w:val="24"/>
          <w:lang w:val="es-ES_tradnl"/>
        </w:rPr>
        <w:t>4,5</w:t>
      </w:r>
      <w:r w:rsidR="0092617A">
        <w:rPr>
          <w:rFonts w:ascii="Arial" w:hAnsi="Arial" w:cs="Arial"/>
          <w:sz w:val="24"/>
          <w:szCs w:val="24"/>
          <w:lang w:val="es-ES_tradnl"/>
        </w:rPr>
        <w:t>5%)</w:t>
      </w:r>
      <w:r w:rsidR="0060764A">
        <w:rPr>
          <w:rFonts w:ascii="Arial" w:hAnsi="Arial" w:cs="Arial"/>
          <w:sz w:val="24"/>
          <w:szCs w:val="24"/>
          <w:lang w:val="es-ES_tradnl"/>
        </w:rPr>
        <w:t xml:space="preserve"> </w:t>
      </w:r>
      <w:r w:rsidR="005C3E5F">
        <w:rPr>
          <w:rFonts w:ascii="Arial" w:hAnsi="Arial" w:cs="Arial"/>
          <w:sz w:val="24"/>
          <w:szCs w:val="24"/>
          <w:lang w:val="es-ES_tradnl"/>
        </w:rPr>
        <w:t xml:space="preserve">en enero, 36 </w:t>
      </w:r>
      <w:r w:rsidR="0092617A">
        <w:rPr>
          <w:rFonts w:ascii="Arial" w:hAnsi="Arial" w:cs="Arial"/>
          <w:sz w:val="24"/>
          <w:szCs w:val="24"/>
          <w:lang w:val="es-ES_tradnl"/>
        </w:rPr>
        <w:t>(</w:t>
      </w:r>
      <w:r w:rsidR="0092617A" w:rsidRPr="0092617A">
        <w:rPr>
          <w:rFonts w:ascii="Arial" w:hAnsi="Arial" w:cs="Arial"/>
          <w:sz w:val="24"/>
          <w:szCs w:val="24"/>
          <w:lang w:val="es-ES_tradnl"/>
        </w:rPr>
        <w:t>16,36</w:t>
      </w:r>
      <w:r w:rsidR="0092617A">
        <w:rPr>
          <w:rFonts w:ascii="Arial" w:hAnsi="Arial" w:cs="Arial"/>
          <w:sz w:val="24"/>
          <w:szCs w:val="24"/>
          <w:lang w:val="es-ES_tradnl"/>
        </w:rPr>
        <w:t xml:space="preserve">%) </w:t>
      </w:r>
      <w:r w:rsidR="005C3E5F">
        <w:rPr>
          <w:rFonts w:ascii="Arial" w:hAnsi="Arial" w:cs="Arial"/>
          <w:sz w:val="24"/>
          <w:szCs w:val="24"/>
          <w:lang w:val="es-ES_tradnl"/>
        </w:rPr>
        <w:t xml:space="preserve">en febrero, 29 </w:t>
      </w:r>
      <w:r w:rsidR="0092617A">
        <w:rPr>
          <w:rFonts w:ascii="Arial" w:hAnsi="Arial" w:cs="Arial"/>
          <w:sz w:val="24"/>
          <w:szCs w:val="24"/>
          <w:lang w:val="es-ES_tradnl"/>
        </w:rPr>
        <w:t>(</w:t>
      </w:r>
      <w:r w:rsidR="0092617A" w:rsidRPr="0092617A">
        <w:rPr>
          <w:rFonts w:ascii="Arial" w:hAnsi="Arial" w:cs="Arial"/>
          <w:sz w:val="24"/>
          <w:szCs w:val="24"/>
          <w:lang w:val="es-ES_tradnl"/>
        </w:rPr>
        <w:t>13,18</w:t>
      </w:r>
      <w:r w:rsidR="0092617A">
        <w:rPr>
          <w:rFonts w:ascii="Arial" w:hAnsi="Arial" w:cs="Arial"/>
          <w:sz w:val="24"/>
          <w:szCs w:val="24"/>
          <w:lang w:val="es-ES_tradnl"/>
        </w:rPr>
        <w:t xml:space="preserve">%) </w:t>
      </w:r>
      <w:r w:rsidR="005C3E5F">
        <w:rPr>
          <w:rFonts w:ascii="Arial" w:hAnsi="Arial" w:cs="Arial"/>
          <w:sz w:val="24"/>
          <w:szCs w:val="24"/>
          <w:lang w:val="es-ES_tradnl"/>
        </w:rPr>
        <w:t xml:space="preserve">en marzo, 66 </w:t>
      </w:r>
      <w:r w:rsidR="0092617A">
        <w:rPr>
          <w:rFonts w:ascii="Arial" w:hAnsi="Arial" w:cs="Arial"/>
          <w:sz w:val="24"/>
          <w:szCs w:val="24"/>
          <w:lang w:val="es-ES_tradnl"/>
        </w:rPr>
        <w:t>(</w:t>
      </w:r>
      <w:r w:rsidR="00A168DD">
        <w:rPr>
          <w:rFonts w:ascii="Arial" w:hAnsi="Arial" w:cs="Arial"/>
          <w:sz w:val="24"/>
          <w:szCs w:val="24"/>
          <w:lang w:val="es-ES_tradnl"/>
        </w:rPr>
        <w:t xml:space="preserve">30,00%) </w:t>
      </w:r>
      <w:r w:rsidR="005C3E5F">
        <w:rPr>
          <w:rFonts w:ascii="Arial" w:hAnsi="Arial" w:cs="Arial"/>
          <w:sz w:val="24"/>
          <w:szCs w:val="24"/>
          <w:lang w:val="es-ES_tradnl"/>
        </w:rPr>
        <w:t xml:space="preserve">en abril, 24 </w:t>
      </w:r>
      <w:r w:rsidR="00A168DD">
        <w:rPr>
          <w:rFonts w:ascii="Arial" w:hAnsi="Arial" w:cs="Arial"/>
          <w:sz w:val="24"/>
          <w:szCs w:val="24"/>
          <w:lang w:val="es-ES_tradnl"/>
        </w:rPr>
        <w:t>(</w:t>
      </w:r>
      <w:r w:rsidR="00A168DD" w:rsidRPr="00A168DD">
        <w:rPr>
          <w:rFonts w:ascii="Arial" w:hAnsi="Arial" w:cs="Arial"/>
          <w:sz w:val="24"/>
          <w:szCs w:val="24"/>
          <w:lang w:val="es-ES_tradnl"/>
        </w:rPr>
        <w:t>10,9</w:t>
      </w:r>
      <w:r w:rsidR="00A168DD">
        <w:rPr>
          <w:rFonts w:ascii="Arial" w:hAnsi="Arial" w:cs="Arial"/>
          <w:sz w:val="24"/>
          <w:szCs w:val="24"/>
          <w:lang w:val="es-ES_tradnl"/>
        </w:rPr>
        <w:t xml:space="preserve">1%) </w:t>
      </w:r>
      <w:r w:rsidR="005C3E5F">
        <w:rPr>
          <w:rFonts w:ascii="Arial" w:hAnsi="Arial" w:cs="Arial"/>
          <w:sz w:val="24"/>
          <w:szCs w:val="24"/>
          <w:lang w:val="es-ES_tradnl"/>
        </w:rPr>
        <w:t xml:space="preserve">de mayo y 47 </w:t>
      </w:r>
      <w:r w:rsidR="00A168DD">
        <w:rPr>
          <w:rFonts w:ascii="Arial" w:hAnsi="Arial" w:cs="Arial"/>
          <w:sz w:val="24"/>
          <w:szCs w:val="24"/>
          <w:lang w:val="es-ES_tradnl"/>
        </w:rPr>
        <w:t>(</w:t>
      </w:r>
      <w:r w:rsidR="00A168DD" w:rsidRPr="00A168DD">
        <w:rPr>
          <w:rFonts w:ascii="Arial" w:hAnsi="Arial" w:cs="Arial"/>
          <w:sz w:val="24"/>
          <w:szCs w:val="24"/>
          <w:lang w:val="es-ES_tradnl"/>
        </w:rPr>
        <w:t>21,36</w:t>
      </w:r>
      <w:r w:rsidR="00A168DD">
        <w:rPr>
          <w:rFonts w:ascii="Arial" w:hAnsi="Arial" w:cs="Arial"/>
          <w:sz w:val="24"/>
          <w:szCs w:val="24"/>
          <w:lang w:val="es-ES_tradnl"/>
        </w:rPr>
        <w:t xml:space="preserve">%) </w:t>
      </w:r>
      <w:r w:rsidR="005C3E5F">
        <w:rPr>
          <w:rFonts w:ascii="Arial" w:hAnsi="Arial" w:cs="Arial"/>
          <w:sz w:val="24"/>
          <w:szCs w:val="24"/>
          <w:lang w:val="es-ES_tradnl"/>
        </w:rPr>
        <w:t xml:space="preserve">en junio. Además 8 </w:t>
      </w:r>
      <w:r w:rsidR="002B7C7C">
        <w:rPr>
          <w:rFonts w:ascii="Arial" w:hAnsi="Arial" w:cs="Arial"/>
          <w:sz w:val="24"/>
          <w:szCs w:val="24"/>
          <w:lang w:val="es-ES_tradnl"/>
        </w:rPr>
        <w:t>(</w:t>
      </w:r>
      <w:r w:rsidR="002B7C7C" w:rsidRPr="002B7C7C">
        <w:rPr>
          <w:rFonts w:ascii="Arial" w:hAnsi="Arial" w:cs="Arial"/>
          <w:sz w:val="24"/>
          <w:szCs w:val="24"/>
          <w:lang w:val="es-ES_tradnl"/>
        </w:rPr>
        <w:t>3,6</w:t>
      </w:r>
      <w:r w:rsidR="002B7C7C">
        <w:rPr>
          <w:rFonts w:ascii="Arial" w:hAnsi="Arial" w:cs="Arial"/>
          <w:sz w:val="24"/>
          <w:szCs w:val="24"/>
          <w:lang w:val="es-ES_tradnl"/>
        </w:rPr>
        <w:t xml:space="preserve">4%) </w:t>
      </w:r>
      <w:r w:rsidR="005C3E5F">
        <w:rPr>
          <w:rFonts w:ascii="Arial" w:hAnsi="Arial" w:cs="Arial"/>
          <w:sz w:val="24"/>
          <w:szCs w:val="24"/>
          <w:lang w:val="es-ES_tradnl"/>
        </w:rPr>
        <w:t>no fueron solucionadas dentro del primer semestre de 2019, objeto de este análisis.</w:t>
      </w:r>
    </w:p>
    <w:p w:rsidR="00F23595" w:rsidRDefault="00F23595" w:rsidP="00FD567B">
      <w:pPr>
        <w:spacing w:after="0" w:line="240" w:lineRule="auto"/>
        <w:jc w:val="both"/>
        <w:rPr>
          <w:rFonts w:ascii="Arial" w:hAnsi="Arial" w:cs="Arial"/>
          <w:sz w:val="24"/>
          <w:szCs w:val="24"/>
          <w:lang w:val="es-ES_tradnl"/>
        </w:rPr>
      </w:pPr>
    </w:p>
    <w:p w:rsidR="00F23595" w:rsidRDefault="00F23595" w:rsidP="00F23595">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311AD8">
        <w:rPr>
          <w:rFonts w:ascii="Arial" w:hAnsi="Arial" w:cs="Arial"/>
          <w:sz w:val="24"/>
          <w:szCs w:val="24"/>
          <w:lang w:val="es-ES_tradnl"/>
        </w:rPr>
        <w:t xml:space="preserve">siguiente </w:t>
      </w:r>
      <w:r w:rsidRPr="00DF7866">
        <w:rPr>
          <w:rFonts w:ascii="Arial" w:hAnsi="Arial" w:cs="Arial"/>
          <w:sz w:val="24"/>
          <w:szCs w:val="24"/>
          <w:lang w:val="es-ES_tradnl"/>
        </w:rPr>
        <w:t>tabla</w:t>
      </w:r>
      <w:r>
        <w:rPr>
          <w:rFonts w:ascii="Arial" w:hAnsi="Arial" w:cs="Arial"/>
          <w:sz w:val="24"/>
          <w:szCs w:val="24"/>
          <w:lang w:val="es-ES_tradnl"/>
        </w:rPr>
        <w:t xml:space="preserve"> nos permit</w:t>
      </w:r>
      <w:r w:rsidR="00311AD8">
        <w:rPr>
          <w:rFonts w:ascii="Arial" w:hAnsi="Arial" w:cs="Arial"/>
          <w:sz w:val="24"/>
          <w:szCs w:val="24"/>
          <w:lang w:val="es-ES_tradnl"/>
        </w:rPr>
        <w:t xml:space="preserve">e identificar </w:t>
      </w:r>
      <w:r>
        <w:rPr>
          <w:rFonts w:ascii="Arial" w:hAnsi="Arial" w:cs="Arial"/>
          <w:sz w:val="24"/>
          <w:szCs w:val="24"/>
          <w:lang w:val="es-ES_tradnl"/>
        </w:rPr>
        <w:t xml:space="preserve">que las </w:t>
      </w:r>
      <w:r w:rsidR="00664CF3">
        <w:rPr>
          <w:rFonts w:ascii="Arial" w:hAnsi="Arial" w:cs="Arial"/>
          <w:sz w:val="24"/>
          <w:szCs w:val="24"/>
          <w:lang w:val="es-ES_tradnl"/>
        </w:rPr>
        <w:t>212</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un</w:t>
      </w:r>
      <w:r w:rsidRPr="00DF7866">
        <w:rPr>
          <w:rFonts w:ascii="Arial" w:hAnsi="Arial" w:cs="Arial"/>
          <w:sz w:val="24"/>
          <w:szCs w:val="24"/>
          <w:lang w:val="es-ES_tradnl"/>
        </w:rPr>
        <w:t xml:space="preserve"> </w:t>
      </w:r>
      <w:r w:rsidR="00D3751F">
        <w:rPr>
          <w:rFonts w:ascii="Arial" w:hAnsi="Arial" w:cs="Arial"/>
          <w:sz w:val="24"/>
          <w:szCs w:val="24"/>
          <w:lang w:val="es-ES_tradnl"/>
        </w:rPr>
        <w:t>127,16</w:t>
      </w:r>
      <w:r w:rsidR="00311AD8">
        <w:rPr>
          <w:rFonts w:ascii="Arial" w:hAnsi="Arial" w:cs="Arial"/>
          <w:sz w:val="24"/>
          <w:szCs w:val="24"/>
          <w:lang w:val="es-ES_tradnl"/>
        </w:rPr>
        <w:t>%</w:t>
      </w:r>
      <w:r w:rsidRPr="00DF7866">
        <w:rPr>
          <w:rFonts w:ascii="Arial" w:hAnsi="Arial" w:cs="Arial"/>
          <w:sz w:val="24"/>
          <w:szCs w:val="24"/>
          <w:lang w:val="es-ES_tradnl"/>
        </w:rPr>
        <w:t xml:space="preserve"> en promedio.</w:t>
      </w:r>
      <w:r>
        <w:rPr>
          <w:rFonts w:ascii="Arial" w:hAnsi="Arial" w:cs="Arial"/>
          <w:sz w:val="24"/>
          <w:szCs w:val="24"/>
          <w:lang w:val="es-ES_tradnl"/>
        </w:rPr>
        <w:t xml:space="preserve"> </w:t>
      </w:r>
    </w:p>
    <w:p w:rsidR="00F23595" w:rsidRDefault="00F23595" w:rsidP="00FD567B">
      <w:pPr>
        <w:spacing w:after="0" w:line="240" w:lineRule="auto"/>
        <w:jc w:val="both"/>
        <w:rPr>
          <w:rFonts w:ascii="Arial" w:hAnsi="Arial" w:cs="Arial"/>
          <w:sz w:val="24"/>
          <w:szCs w:val="24"/>
          <w:lang w:val="es-ES_tradnl"/>
        </w:rPr>
      </w:pPr>
    </w:p>
    <w:tbl>
      <w:tblPr>
        <w:tblStyle w:val="GridTable4Accent1"/>
        <w:tblW w:w="9661" w:type="dxa"/>
        <w:tblLayout w:type="fixed"/>
        <w:tblLook w:val="04A0" w:firstRow="1" w:lastRow="0" w:firstColumn="1" w:lastColumn="0" w:noHBand="0" w:noVBand="1"/>
      </w:tblPr>
      <w:tblGrid>
        <w:gridCol w:w="534"/>
        <w:gridCol w:w="1126"/>
        <w:gridCol w:w="1218"/>
        <w:gridCol w:w="1341"/>
        <w:gridCol w:w="981"/>
        <w:gridCol w:w="1084"/>
        <w:gridCol w:w="1134"/>
        <w:gridCol w:w="1326"/>
        <w:gridCol w:w="917"/>
      </w:tblGrid>
      <w:tr w:rsidR="004C2E95" w:rsidRPr="004C2E95" w:rsidTr="00731C9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6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C2E95" w:rsidRPr="004C2E95" w:rsidRDefault="004C2E95" w:rsidP="004C2E95">
            <w:pPr>
              <w:spacing w:after="0" w:line="240" w:lineRule="auto"/>
              <w:jc w:val="center"/>
              <w:rPr>
                <w:rFonts w:eastAsia="Times New Roman" w:cs="Calibri"/>
                <w:lang w:eastAsia="es-CO"/>
              </w:rPr>
            </w:pPr>
            <w:r w:rsidRPr="004C2E95">
              <w:rPr>
                <w:rFonts w:eastAsia="Times New Roman" w:cs="Calibri"/>
                <w:lang w:eastAsia="es-CO"/>
              </w:rPr>
              <w:t>TABLA No. 9 – CIERRE INOPORTUNO DE LAS PQRSD</w:t>
            </w:r>
          </w:p>
        </w:tc>
      </w:tr>
      <w:tr w:rsidR="004C2E95" w:rsidRPr="004C2E95" w:rsidTr="004757BA">
        <w:trPr>
          <w:cnfStyle w:val="100000000000" w:firstRow="1" w:lastRow="0" w:firstColumn="0" w:lastColumn="0" w:oddVBand="0" w:evenVBand="0" w:oddHBand="0" w:evenHBand="0" w:firstRowFirstColumn="0" w:firstRowLastColumn="0" w:lastRowFirstColumn="0" w:lastRowLastColumn="0"/>
          <w:trHeight w:val="983"/>
          <w:tblHeader/>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rPr>
                <w:rFonts w:ascii="Arial" w:eastAsia="Times New Roman" w:hAnsi="Arial" w:cs="Arial"/>
                <w:sz w:val="18"/>
                <w:szCs w:val="18"/>
                <w:lang w:eastAsia="es-CO"/>
              </w:rPr>
            </w:pPr>
            <w:r w:rsidRPr="004C2E95">
              <w:rPr>
                <w:rFonts w:ascii="Arial" w:eastAsia="Times New Roman" w:hAnsi="Arial" w:cs="Arial"/>
                <w:sz w:val="18"/>
                <w:szCs w:val="18"/>
                <w:lang w:eastAsia="es-CO"/>
              </w:rPr>
              <w:t>No</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ingreso</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Número petición SDQS</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Dependencia</w:t>
            </w:r>
            <w:r w:rsidR="000B5FB0">
              <w:rPr>
                <w:rStyle w:val="Refdenotaalpie"/>
                <w:rFonts w:ascii="Arial" w:eastAsia="Times New Roman" w:hAnsi="Arial" w:cs="Arial"/>
                <w:sz w:val="18"/>
                <w:szCs w:val="18"/>
                <w:lang w:eastAsia="es-CO"/>
              </w:rPr>
              <w:footnoteReference w:id="3"/>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Tipo de Petición</w:t>
            </w:r>
            <w:r w:rsidR="00BA6D6C">
              <w:rPr>
                <w:rStyle w:val="Refdenotaalpie"/>
                <w:rFonts w:ascii="Arial" w:eastAsia="Times New Roman" w:hAnsi="Arial" w:cs="Arial"/>
                <w:sz w:val="18"/>
                <w:szCs w:val="18"/>
                <w:lang w:eastAsia="es-CO"/>
              </w:rPr>
              <w:footnoteReference w:id="4"/>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Tiempo de respuesta</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de respuesta máxima</w:t>
            </w:r>
          </w:p>
        </w:tc>
        <w:tc>
          <w:tcPr>
            <w:tcW w:w="13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radicado de respuesta</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Gestión en días hábiles</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FFFFFF" w:themeColor="background1"/>
            </w:tcBorders>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w:t>
            </w:r>
          </w:p>
        </w:tc>
        <w:tc>
          <w:tcPr>
            <w:tcW w:w="1126"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3/12/2018</w:t>
            </w:r>
          </w:p>
        </w:tc>
        <w:tc>
          <w:tcPr>
            <w:tcW w:w="1218"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2917402018</w:t>
            </w:r>
          </w:p>
        </w:tc>
        <w:tc>
          <w:tcPr>
            <w:tcW w:w="1341" w:type="dxa"/>
            <w:tcBorders>
              <w:top w:val="single" w:sz="4" w:space="0" w:color="FFFFFF" w:themeColor="background1"/>
            </w:tcBorders>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24/12/2018</w:t>
            </w:r>
          </w:p>
        </w:tc>
        <w:tc>
          <w:tcPr>
            <w:tcW w:w="1326" w:type="dxa"/>
            <w:tcBorders>
              <w:top w:val="single" w:sz="4" w:space="0" w:color="FFFFFF" w:themeColor="background1"/>
            </w:tcBorders>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917"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2949802018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28/12/2018</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2977532018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2970832018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2970822018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2996522018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3004092018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3061262018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16262019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32992019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37342019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45622019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46472019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46532019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49762019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68092019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72952019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87272019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90932019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121672019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118932019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117332019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135582019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135092019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160102019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159212019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156252019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155672019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176052019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169342019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168732019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181062019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193182019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209222019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208982019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204622019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204022019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229742019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240852019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251802019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243482019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269672019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282732019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322892019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333342019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347612019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344142019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365902019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365892019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359532019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376652019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373912019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370582019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370572019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396962019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417172019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410942019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428832019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437142019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F</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451362019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459352019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458482019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475492019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483242019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483252019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484162019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488282019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488362019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489222019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493812019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491572019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492872019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492752019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503322019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495722019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512782019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512642019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512502019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510862019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509202019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509062019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507372019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507292019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523162019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522272019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522242019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521162019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518972019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561212019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557552019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579882019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606692019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OT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621512019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614302019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614192019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632072019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656612019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671022019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ACI</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665222019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664882019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664662019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686072019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682182019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682132019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679722019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704252019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702622019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702492019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702422019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701822019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701642019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696722019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696632019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715752019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748302019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749932019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750102019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759422019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762872019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773902019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773282019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772142019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ACI</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769212019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768892019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765982019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782492019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OT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782032019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781672019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780782019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780142019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814182019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811842019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806972019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830112019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823952019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822442019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846772019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845582019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863332019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860802019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860112019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878132019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884202019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911682019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911292019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909162019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908362019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919742019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941532019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940522019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967052019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1025942019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1039372019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1036242019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1057112019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1059762019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1080992019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1079362019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1078902019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1078812019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1084112019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1093262019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1093042019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1115862019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1115772019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1131652019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1131632019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1131562019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1130892019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1126722019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1143122019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1142642019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1163562019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1159452019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1154282019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1151562019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1172302019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1172212019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1170882019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1169862019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1185652019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1185332019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1198052019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1197922019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1194172019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1193672019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1220552019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1228552019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1228462019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1247812019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1245352019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1243642019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1239392019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1263002019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1288092019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1288052019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1285072019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211</w:t>
            </w:r>
          </w:p>
        </w:tc>
        <w:tc>
          <w:tcPr>
            <w:tcW w:w="1126" w:type="dxa"/>
            <w:noWrap/>
            <w:vAlign w:val="center"/>
            <w:hideMark/>
          </w:tcPr>
          <w:p w:rsidR="004C2E95" w:rsidRPr="004C2E95" w:rsidRDefault="004C2E95" w:rsidP="004C2E9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1303012019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1302852019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1303992019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1310302019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1309882019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1337862019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1333592019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1362882019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1390652019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bl>
    <w:p w:rsidR="008200DA" w:rsidRPr="007E2536" w:rsidRDefault="008200DA" w:rsidP="008200D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93B66" w:rsidRDefault="00293B66" w:rsidP="002B2593">
      <w:pPr>
        <w:spacing w:after="0" w:line="240" w:lineRule="auto"/>
        <w:rPr>
          <w:rFonts w:ascii="Arial" w:hAnsi="Arial" w:cs="Arial"/>
          <w:sz w:val="24"/>
          <w:szCs w:val="24"/>
          <w:lang w:val="es-ES"/>
        </w:rPr>
      </w:pPr>
    </w:p>
    <w:p w:rsidR="00600785" w:rsidRDefault="00600785" w:rsidP="002B2593">
      <w:pPr>
        <w:spacing w:after="0" w:line="240" w:lineRule="auto"/>
        <w:rPr>
          <w:rFonts w:ascii="Arial" w:hAnsi="Arial" w:cs="Arial"/>
          <w:sz w:val="24"/>
          <w:szCs w:val="24"/>
          <w:lang w:val="es-ES"/>
        </w:rPr>
      </w:pPr>
    </w:p>
    <w:p w:rsidR="0019796A" w:rsidRPr="001F7312" w:rsidRDefault="0019796A" w:rsidP="002B2593">
      <w:pPr>
        <w:pStyle w:val="Ttulo2"/>
        <w:spacing w:before="0" w:after="0" w:line="240" w:lineRule="auto"/>
      </w:pPr>
      <w:bookmarkStart w:id="48" w:name="_Toc535239896"/>
      <w:bookmarkStart w:id="49" w:name="_Toc3271544"/>
      <w:bookmarkStart w:id="50" w:name="_Toc6996657"/>
      <w:bookmarkStart w:id="51" w:name="_Toc11337907"/>
      <w:bookmarkStart w:id="52" w:name="_Toc16758380"/>
      <w:r w:rsidRPr="001F7312">
        <w:t>Cálculo del Indicador</w:t>
      </w:r>
      <w:bookmarkEnd w:id="48"/>
      <w:bookmarkEnd w:id="49"/>
      <w:bookmarkEnd w:id="50"/>
      <w:bookmarkEnd w:id="51"/>
      <w:bookmarkEnd w:id="52"/>
    </w:p>
    <w:p w:rsidR="002B2593" w:rsidRDefault="002B2593" w:rsidP="002B2593">
      <w:pPr>
        <w:spacing w:after="0" w:line="240" w:lineRule="auto"/>
        <w:jc w:val="both"/>
        <w:rPr>
          <w:rFonts w:ascii="Arial" w:hAnsi="Arial" w:cs="Arial"/>
          <w:sz w:val="24"/>
          <w:szCs w:val="24"/>
          <w:lang w:val="es-ES"/>
        </w:rPr>
      </w:pPr>
    </w:p>
    <w:p w:rsidR="0019796A" w:rsidRDefault="0019796A" w:rsidP="002B2593">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2B2593" w:rsidRDefault="002B2593" w:rsidP="002B2593">
      <w:pPr>
        <w:spacing w:after="0" w:line="240" w:lineRule="auto"/>
        <w:jc w:val="both"/>
        <w:rPr>
          <w:rFonts w:ascii="Arial" w:hAnsi="Arial" w:cs="Arial"/>
          <w:sz w:val="24"/>
          <w:szCs w:val="24"/>
          <w:lang w:val="es-ES"/>
        </w:rPr>
      </w:pPr>
    </w:p>
    <w:tbl>
      <w:tblPr>
        <w:tblStyle w:val="GridTable4Accent1"/>
        <w:tblW w:w="9356" w:type="dxa"/>
        <w:tblInd w:w="108" w:type="dxa"/>
        <w:tblLook w:val="04A0" w:firstRow="1" w:lastRow="0" w:firstColumn="1" w:lastColumn="0" w:noHBand="0" w:noVBand="1"/>
      </w:tblPr>
      <w:tblGrid>
        <w:gridCol w:w="1980"/>
        <w:gridCol w:w="3544"/>
        <w:gridCol w:w="2268"/>
        <w:gridCol w:w="1564"/>
      </w:tblGrid>
      <w:tr w:rsidR="0019796A" w:rsidRPr="00532A3D" w:rsidTr="001174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8B36D0">
              <w:rPr>
                <w:rFonts w:ascii="Arial" w:hAnsi="Arial" w:cs="Arial"/>
                <w:sz w:val="20"/>
                <w:szCs w:val="20"/>
                <w:lang w:eastAsia="es-CO"/>
              </w:rPr>
              <w:t>10</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19796A" w:rsidRPr="00532A3D" w:rsidTr="001174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19796A" w:rsidRPr="00532A3D" w:rsidTr="00117487">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 xml:space="preserve">Número total de respuestas emitidas a las PQRSD en el </w:t>
            </w:r>
            <w:r w:rsidR="00394BA1">
              <w:rPr>
                <w:rFonts w:ascii="Arial" w:hAnsi="Arial" w:cs="Arial"/>
                <w:sz w:val="20"/>
                <w:szCs w:val="20"/>
                <w:lang w:val="es-ES"/>
              </w:rPr>
              <w:t>periodo)</w:t>
            </w:r>
            <w:r w:rsidRPr="00532A3D">
              <w:rPr>
                <w:rFonts w:ascii="Arial" w:hAnsi="Arial" w:cs="Arial"/>
                <w:sz w:val="20"/>
                <w:szCs w:val="20"/>
                <w:lang w:val="es-ES"/>
              </w:rPr>
              <w:t xml:space="preserve"> /</w:t>
            </w:r>
            <w:r w:rsidRPr="00532A3D">
              <w:rPr>
                <w:rFonts w:ascii="Arial" w:hAnsi="Arial" w:cs="Arial"/>
                <w:color w:val="000000"/>
                <w:sz w:val="20"/>
                <w:szCs w:val="20"/>
                <w:lang w:eastAsia="es-CO"/>
              </w:rPr>
              <w:t xml:space="preserve"> (</w:t>
            </w:r>
            <w:r w:rsidRPr="00532A3D">
              <w:rPr>
                <w:rFonts w:ascii="Arial" w:hAnsi="Arial" w:cs="Arial"/>
                <w:sz w:val="20"/>
                <w:szCs w:val="20"/>
                <w:lang w:val="es-ES"/>
              </w:rPr>
              <w:t xml:space="preserve">Número total de PQRSD que deben ser solucionadas en el </w:t>
            </w:r>
            <w:r w:rsidR="00B924A6">
              <w:rPr>
                <w:rFonts w:ascii="Arial" w:hAnsi="Arial" w:cs="Arial"/>
                <w:sz w:val="20"/>
                <w:szCs w:val="20"/>
                <w:lang w:val="es-ES"/>
              </w:rPr>
              <w:t>periodo</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F21F68">
              <w:rPr>
                <w:rFonts w:ascii="Arial" w:hAnsi="Arial" w:cs="Arial"/>
                <w:color w:val="000000"/>
                <w:sz w:val="20"/>
                <w:szCs w:val="20"/>
                <w:lang w:eastAsia="es-CO"/>
              </w:rPr>
              <w:t>2.118</w:t>
            </w:r>
            <w:r w:rsidRPr="00532A3D">
              <w:rPr>
                <w:rFonts w:ascii="Arial" w:hAnsi="Arial" w:cs="Arial"/>
                <w:color w:val="000000"/>
                <w:sz w:val="20"/>
                <w:szCs w:val="20"/>
                <w:lang w:eastAsia="es-CO"/>
              </w:rPr>
              <w:t>) / (</w:t>
            </w:r>
            <w:r w:rsidR="003B4DA4">
              <w:rPr>
                <w:rFonts w:ascii="Arial" w:hAnsi="Arial" w:cs="Arial"/>
                <w:color w:val="000000"/>
                <w:sz w:val="20"/>
                <w:szCs w:val="20"/>
                <w:lang w:eastAsia="es-CO"/>
              </w:rPr>
              <w:t>2.053</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19796A" w:rsidRPr="00532A3D" w:rsidRDefault="00A870A9"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Pr>
                <w:rFonts w:ascii="Arial" w:hAnsi="Arial" w:cs="Arial"/>
                <w:b/>
                <w:sz w:val="20"/>
                <w:szCs w:val="20"/>
                <w:lang w:val="es-ES"/>
              </w:rPr>
              <w:t>103,17</w:t>
            </w:r>
            <w:r w:rsidR="0019796A" w:rsidRPr="00532A3D">
              <w:rPr>
                <w:rFonts w:ascii="Arial" w:hAnsi="Arial" w:cs="Arial"/>
                <w:b/>
                <w:bCs/>
                <w:color w:val="000000"/>
                <w:sz w:val="20"/>
                <w:szCs w:val="20"/>
                <w:lang w:eastAsia="es-CO"/>
              </w:rPr>
              <w:t>%</w:t>
            </w:r>
          </w:p>
        </w:tc>
      </w:tr>
    </w:tbl>
    <w:p w:rsidR="0019796A" w:rsidRDefault="0019796A" w:rsidP="0019796A">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9796A" w:rsidRDefault="0019796A" w:rsidP="0019796A">
      <w:pPr>
        <w:spacing w:after="0" w:line="240" w:lineRule="auto"/>
        <w:jc w:val="both"/>
        <w:rPr>
          <w:rFonts w:ascii="Arial" w:hAnsi="Arial" w:cs="Arial"/>
          <w:sz w:val="24"/>
          <w:szCs w:val="24"/>
        </w:rPr>
      </w:pPr>
    </w:p>
    <w:p w:rsidR="0019796A" w:rsidRPr="00DF7866" w:rsidRDefault="0019796A" w:rsidP="0019796A">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BB08F1">
        <w:rPr>
          <w:rFonts w:ascii="Arial" w:hAnsi="Arial" w:cs="Arial"/>
          <w:sz w:val="24"/>
          <w:szCs w:val="24"/>
        </w:rPr>
        <w:t xml:space="preserve">65 </w:t>
      </w:r>
      <w:r w:rsidRPr="00DF7866">
        <w:rPr>
          <w:rFonts w:ascii="Arial" w:hAnsi="Arial" w:cs="Arial"/>
          <w:sz w:val="24"/>
          <w:szCs w:val="24"/>
        </w:rPr>
        <w:t>PQRSD más de las que se tenían contempladas.</w:t>
      </w:r>
    </w:p>
    <w:p w:rsidR="0019796A" w:rsidRDefault="0019796A" w:rsidP="0019796A">
      <w:pPr>
        <w:spacing w:after="0" w:line="240" w:lineRule="auto"/>
        <w:jc w:val="both"/>
        <w:rPr>
          <w:rFonts w:ascii="Arial" w:hAnsi="Arial" w:cs="Arial"/>
          <w:sz w:val="24"/>
          <w:szCs w:val="24"/>
          <w:lang w:val="es-ES"/>
        </w:rPr>
      </w:pPr>
    </w:p>
    <w:p w:rsidR="0019796A" w:rsidRDefault="0019796A" w:rsidP="0019796A">
      <w:pPr>
        <w:spacing w:after="0" w:line="240" w:lineRule="auto"/>
        <w:jc w:val="both"/>
        <w:rPr>
          <w:rFonts w:ascii="Arial" w:hAnsi="Arial" w:cs="Arial"/>
          <w:sz w:val="24"/>
          <w:szCs w:val="24"/>
          <w:lang w:val="es-ES"/>
        </w:rPr>
      </w:pPr>
    </w:p>
    <w:p w:rsidR="0019796A" w:rsidRPr="00DF7866" w:rsidRDefault="0019796A" w:rsidP="0019796A">
      <w:pPr>
        <w:pStyle w:val="Ttulo1"/>
        <w:spacing w:before="0" w:after="0" w:line="240" w:lineRule="auto"/>
        <w:jc w:val="left"/>
        <w:rPr>
          <w:rFonts w:cs="Arial"/>
          <w:szCs w:val="24"/>
        </w:rPr>
      </w:pPr>
      <w:bookmarkStart w:id="53" w:name="_Toc535239897"/>
      <w:bookmarkStart w:id="54" w:name="_Toc3271545"/>
      <w:bookmarkStart w:id="55" w:name="_Toc6996658"/>
      <w:bookmarkStart w:id="56" w:name="_Toc11337908"/>
      <w:bookmarkStart w:id="57" w:name="_Toc16758381"/>
      <w:r w:rsidRPr="00DF7866">
        <w:rPr>
          <w:rFonts w:cs="Arial"/>
          <w:szCs w:val="24"/>
        </w:rPr>
        <w:t>CONCLUSIONES</w:t>
      </w:r>
      <w:bookmarkEnd w:id="53"/>
      <w:bookmarkEnd w:id="54"/>
      <w:bookmarkEnd w:id="55"/>
      <w:bookmarkEnd w:id="56"/>
      <w:bookmarkEnd w:id="57"/>
    </w:p>
    <w:p w:rsidR="0019796A" w:rsidRPr="00DF7866" w:rsidRDefault="0019796A" w:rsidP="0019796A">
      <w:pPr>
        <w:spacing w:after="0" w:line="240" w:lineRule="auto"/>
        <w:jc w:val="both"/>
        <w:rPr>
          <w:rFonts w:ascii="Arial" w:hAnsi="Arial" w:cs="Arial"/>
          <w:sz w:val="24"/>
          <w:szCs w:val="24"/>
        </w:rPr>
      </w:pPr>
    </w:p>
    <w:p w:rsidR="007C6282" w:rsidRDefault="00D876DD" w:rsidP="007C6282">
      <w:pPr>
        <w:spacing w:after="0" w:line="240" w:lineRule="auto"/>
        <w:jc w:val="both"/>
        <w:rPr>
          <w:rFonts w:ascii="Arial" w:hAnsi="Arial" w:cs="Arial"/>
          <w:sz w:val="24"/>
          <w:szCs w:val="24"/>
          <w:lang w:val="es-ES"/>
        </w:rPr>
      </w:pPr>
      <w:r>
        <w:rPr>
          <w:rFonts w:ascii="Arial" w:hAnsi="Arial" w:cs="Arial"/>
          <w:sz w:val="24"/>
          <w:szCs w:val="24"/>
        </w:rPr>
        <w:t>Podemos</w:t>
      </w:r>
      <w:r w:rsidR="00CA5FA5">
        <w:rPr>
          <w:rFonts w:ascii="Arial" w:hAnsi="Arial" w:cs="Arial"/>
          <w:sz w:val="24"/>
          <w:szCs w:val="24"/>
        </w:rPr>
        <w:t xml:space="preserve"> establecer en el presente informe</w:t>
      </w:r>
      <w:r w:rsidR="007C6282" w:rsidRPr="00DF7866">
        <w:rPr>
          <w:rFonts w:ascii="Arial" w:hAnsi="Arial" w:cs="Arial"/>
          <w:sz w:val="24"/>
          <w:szCs w:val="24"/>
          <w:lang w:val="es-ES"/>
        </w:rPr>
        <w:t xml:space="preserve"> que</w:t>
      </w:r>
      <w:r w:rsidR="00CA5FA5">
        <w:rPr>
          <w:rFonts w:ascii="Arial" w:hAnsi="Arial" w:cs="Arial"/>
          <w:sz w:val="24"/>
          <w:szCs w:val="24"/>
          <w:lang w:val="es-ES"/>
        </w:rPr>
        <w:t>,</w:t>
      </w:r>
      <w:r w:rsidR="007C6282" w:rsidRPr="00DF7866">
        <w:rPr>
          <w:rFonts w:ascii="Arial" w:hAnsi="Arial" w:cs="Arial"/>
          <w:sz w:val="24"/>
          <w:szCs w:val="24"/>
          <w:lang w:val="es-ES"/>
        </w:rPr>
        <w:t xml:space="preserve"> la entidad </w:t>
      </w:r>
      <w:r w:rsidR="007C6282">
        <w:rPr>
          <w:rFonts w:ascii="Arial" w:hAnsi="Arial" w:cs="Arial"/>
          <w:sz w:val="24"/>
          <w:szCs w:val="24"/>
          <w:lang w:val="es-ES"/>
        </w:rPr>
        <w:t xml:space="preserve">utilizo 9,68 </w:t>
      </w:r>
      <w:r w:rsidR="007C6282" w:rsidRPr="00DF7866">
        <w:rPr>
          <w:rFonts w:ascii="Arial" w:hAnsi="Arial" w:cs="Arial"/>
          <w:sz w:val="24"/>
          <w:szCs w:val="24"/>
          <w:lang w:val="es-ES"/>
        </w:rPr>
        <w:t>días hábiles promedio</w:t>
      </w:r>
      <w:r w:rsidR="00CA5FA5">
        <w:rPr>
          <w:rFonts w:ascii="Arial" w:hAnsi="Arial" w:cs="Arial"/>
          <w:sz w:val="24"/>
          <w:szCs w:val="24"/>
          <w:lang w:val="es-ES"/>
        </w:rPr>
        <w:t xml:space="preserve"> (</w:t>
      </w:r>
      <w:r w:rsidR="007C6282" w:rsidRPr="00DF7866">
        <w:rPr>
          <w:rFonts w:ascii="Arial" w:hAnsi="Arial" w:cs="Arial"/>
          <w:sz w:val="24"/>
          <w:szCs w:val="24"/>
          <w:lang w:val="es-ES"/>
        </w:rPr>
        <w:t xml:space="preserve">frente al límite promedio máximo de </w:t>
      </w:r>
      <w:r w:rsidR="007C6282">
        <w:rPr>
          <w:rFonts w:ascii="Arial" w:hAnsi="Arial" w:cs="Arial"/>
          <w:sz w:val="24"/>
          <w:szCs w:val="24"/>
          <w:lang w:val="es-ES"/>
        </w:rPr>
        <w:t xml:space="preserve">15,50 </w:t>
      </w:r>
      <w:r w:rsidR="007C6282" w:rsidRPr="00DF7866">
        <w:rPr>
          <w:rFonts w:ascii="Arial" w:hAnsi="Arial" w:cs="Arial"/>
          <w:sz w:val="24"/>
          <w:szCs w:val="24"/>
          <w:lang w:val="es-ES"/>
        </w:rPr>
        <w:t>días hábiles</w:t>
      </w:r>
      <w:r w:rsidR="00CA5FA5">
        <w:rPr>
          <w:rFonts w:ascii="Arial" w:hAnsi="Arial" w:cs="Arial"/>
          <w:sz w:val="24"/>
          <w:szCs w:val="24"/>
          <w:lang w:val="es-ES"/>
        </w:rPr>
        <w:t xml:space="preserve">) para atender </w:t>
      </w:r>
      <w:r w:rsidR="007C6282" w:rsidRPr="00DF7866">
        <w:rPr>
          <w:rFonts w:ascii="Arial" w:hAnsi="Arial" w:cs="Arial"/>
          <w:sz w:val="24"/>
          <w:szCs w:val="24"/>
          <w:lang w:val="es-ES"/>
        </w:rPr>
        <w:t xml:space="preserve">las </w:t>
      </w:r>
      <w:r w:rsidR="007C6282">
        <w:rPr>
          <w:rFonts w:ascii="Arial" w:hAnsi="Arial" w:cs="Arial"/>
          <w:sz w:val="24"/>
          <w:szCs w:val="24"/>
          <w:lang w:val="es-ES"/>
        </w:rPr>
        <w:t xml:space="preserve">2.118 </w:t>
      </w:r>
      <w:r w:rsidR="007C6282" w:rsidRPr="00DF7866">
        <w:rPr>
          <w:rFonts w:ascii="Arial" w:hAnsi="Arial" w:cs="Arial"/>
          <w:sz w:val="24"/>
          <w:szCs w:val="24"/>
          <w:lang w:val="es-ES"/>
        </w:rPr>
        <w:t xml:space="preserve">PQRSD </w:t>
      </w:r>
      <w:r w:rsidR="00CA5FA5">
        <w:rPr>
          <w:rFonts w:ascii="Arial" w:hAnsi="Arial" w:cs="Arial"/>
          <w:sz w:val="24"/>
          <w:szCs w:val="24"/>
          <w:lang w:val="es-ES"/>
        </w:rPr>
        <w:t xml:space="preserve">solucionadas en </w:t>
      </w:r>
      <w:r w:rsidR="007C6282">
        <w:rPr>
          <w:rFonts w:ascii="Arial" w:hAnsi="Arial" w:cs="Arial"/>
          <w:sz w:val="24"/>
          <w:szCs w:val="24"/>
          <w:lang w:val="es-ES"/>
        </w:rPr>
        <w:t xml:space="preserve">el primer semestre de 2019. Esto representa </w:t>
      </w:r>
      <w:r w:rsidR="007C6282" w:rsidRPr="00DF7866">
        <w:rPr>
          <w:rFonts w:ascii="Arial" w:hAnsi="Arial" w:cs="Arial"/>
          <w:sz w:val="24"/>
          <w:szCs w:val="24"/>
          <w:lang w:val="es-ES"/>
        </w:rPr>
        <w:t xml:space="preserve">un ahorro del </w:t>
      </w:r>
      <w:r w:rsidR="007C6282">
        <w:rPr>
          <w:rFonts w:ascii="Arial" w:hAnsi="Arial" w:cs="Arial"/>
          <w:sz w:val="24"/>
          <w:szCs w:val="24"/>
          <w:lang w:val="es-ES"/>
        </w:rPr>
        <w:t>5,82</w:t>
      </w:r>
      <w:r w:rsidR="007C6282" w:rsidRPr="00DF7866">
        <w:rPr>
          <w:rFonts w:ascii="Arial" w:hAnsi="Arial" w:cs="Arial"/>
          <w:sz w:val="24"/>
          <w:szCs w:val="24"/>
          <w:lang w:val="es-ES"/>
        </w:rPr>
        <w:t xml:space="preserve"> </w:t>
      </w:r>
      <w:r w:rsidR="007C6282">
        <w:rPr>
          <w:rFonts w:ascii="Arial" w:hAnsi="Arial" w:cs="Arial"/>
          <w:sz w:val="24"/>
          <w:szCs w:val="24"/>
          <w:lang w:val="es-ES"/>
        </w:rPr>
        <w:t>días hábiles promedio.</w:t>
      </w:r>
    </w:p>
    <w:p w:rsidR="007C6282" w:rsidRDefault="007C6282" w:rsidP="007C6282">
      <w:pPr>
        <w:spacing w:after="0" w:line="240" w:lineRule="auto"/>
        <w:jc w:val="both"/>
        <w:rPr>
          <w:rFonts w:ascii="Arial" w:hAnsi="Arial" w:cs="Arial"/>
          <w:sz w:val="24"/>
          <w:szCs w:val="24"/>
          <w:lang w:val="es-ES"/>
        </w:rPr>
      </w:pPr>
    </w:p>
    <w:p w:rsidR="007C6282" w:rsidRDefault="007C6282" w:rsidP="007C6282">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PQRSD recibidas vs Solucionadas, l</w:t>
      </w:r>
      <w:r w:rsidRPr="00DF7866">
        <w:rPr>
          <w:rFonts w:ascii="Arial" w:hAnsi="Arial" w:cs="Arial"/>
          <w:sz w:val="24"/>
          <w:szCs w:val="24"/>
          <w:lang w:val="es-ES"/>
        </w:rPr>
        <w:t>a</w:t>
      </w:r>
      <w:r>
        <w:rPr>
          <w:rFonts w:ascii="Arial" w:hAnsi="Arial" w:cs="Arial"/>
          <w:sz w:val="24"/>
          <w:szCs w:val="24"/>
          <w:lang w:val="es-ES"/>
        </w:rPr>
        <w:t xml:space="preserve"> </w:t>
      </w:r>
      <w:r w:rsidRPr="00A16331">
        <w:rPr>
          <w:rFonts w:ascii="Arial" w:hAnsi="Arial" w:cs="Arial"/>
          <w:sz w:val="24"/>
          <w:szCs w:val="24"/>
          <w:lang w:val="es-ES"/>
        </w:rPr>
        <w:t>Dirección De Urbanizaciones Y Titulación</w:t>
      </w:r>
      <w:r>
        <w:rPr>
          <w:rFonts w:ascii="Arial" w:eastAsia="Times New Roman" w:hAnsi="Arial" w:cs="Arial"/>
          <w:sz w:val="24"/>
          <w:szCs w:val="24"/>
          <w:lang w:eastAsia="es-CO"/>
        </w:rPr>
        <w:t xml:space="preserve"> 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PQRSD</w:t>
      </w:r>
      <w:r w:rsidR="00217738">
        <w:rPr>
          <w:rFonts w:ascii="Arial" w:hAnsi="Arial" w:cs="Arial"/>
          <w:sz w:val="24"/>
          <w:szCs w:val="24"/>
          <w:lang w:val="es-ES"/>
        </w:rPr>
        <w:t xml:space="preserve">; la cual </w:t>
      </w:r>
      <w:r>
        <w:rPr>
          <w:rFonts w:ascii="Arial" w:hAnsi="Arial" w:cs="Arial"/>
          <w:sz w:val="24"/>
          <w:szCs w:val="24"/>
          <w:lang w:val="es-ES"/>
        </w:rPr>
        <w:t xml:space="preserve">obtuvo un </w:t>
      </w:r>
      <w:r w:rsidRPr="00DF7866">
        <w:rPr>
          <w:rFonts w:ascii="Arial" w:hAnsi="Arial" w:cs="Arial"/>
          <w:sz w:val="24"/>
          <w:szCs w:val="24"/>
          <w:lang w:val="es-ES"/>
        </w:rPr>
        <w:t xml:space="preserve">promedio de </w:t>
      </w:r>
      <w:r>
        <w:rPr>
          <w:rFonts w:ascii="Arial" w:hAnsi="Arial" w:cs="Arial"/>
          <w:sz w:val="24"/>
          <w:szCs w:val="24"/>
          <w:lang w:val="es-ES"/>
        </w:rPr>
        <w:t xml:space="preserve">10,16 </w:t>
      </w:r>
      <w:r w:rsidRPr="00DF7866">
        <w:rPr>
          <w:rFonts w:ascii="Arial" w:hAnsi="Arial" w:cs="Arial"/>
          <w:sz w:val="24"/>
          <w:szCs w:val="24"/>
          <w:lang w:val="es-ES"/>
        </w:rPr>
        <w:t>días hábiles</w:t>
      </w:r>
      <w:r>
        <w:rPr>
          <w:rFonts w:ascii="Arial" w:hAnsi="Arial" w:cs="Arial"/>
          <w:sz w:val="24"/>
          <w:szCs w:val="24"/>
          <w:lang w:val="es-ES"/>
        </w:rPr>
        <w:t xml:space="preserve"> promedio, </w:t>
      </w:r>
      <w:r w:rsidRPr="00DF7866">
        <w:rPr>
          <w:rFonts w:ascii="Arial" w:hAnsi="Arial" w:cs="Arial"/>
          <w:sz w:val="24"/>
          <w:szCs w:val="24"/>
          <w:lang w:val="es-ES"/>
        </w:rPr>
        <w:t xml:space="preserve">de los </w:t>
      </w:r>
      <w:r>
        <w:rPr>
          <w:rFonts w:ascii="Arial" w:hAnsi="Arial" w:cs="Arial"/>
          <w:sz w:val="24"/>
          <w:szCs w:val="24"/>
          <w:lang w:val="es-ES"/>
        </w:rPr>
        <w:t xml:space="preserve">15,63 </w:t>
      </w:r>
      <w:r w:rsidRPr="00DF7866">
        <w:rPr>
          <w:rFonts w:ascii="Arial" w:hAnsi="Arial" w:cs="Arial"/>
          <w:sz w:val="24"/>
          <w:szCs w:val="24"/>
          <w:lang w:val="es-ES"/>
        </w:rPr>
        <w:t xml:space="preserve">días hábiles máximos </w:t>
      </w:r>
      <w:r>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para las 700 PQRSD solucionadas</w:t>
      </w:r>
      <w:r w:rsidRPr="00DF7866">
        <w:rPr>
          <w:rFonts w:ascii="Arial" w:hAnsi="Arial" w:cs="Arial"/>
          <w:sz w:val="24"/>
          <w:szCs w:val="24"/>
          <w:lang w:val="es-ES"/>
        </w:rPr>
        <w:t>.</w:t>
      </w:r>
    </w:p>
    <w:p w:rsidR="007C6282" w:rsidRDefault="007C6282" w:rsidP="007C6282">
      <w:pPr>
        <w:spacing w:after="0" w:line="240" w:lineRule="auto"/>
        <w:jc w:val="both"/>
        <w:rPr>
          <w:rFonts w:ascii="Arial" w:hAnsi="Arial" w:cs="Arial"/>
          <w:sz w:val="24"/>
          <w:szCs w:val="24"/>
          <w:lang w:val="es-ES"/>
        </w:rPr>
      </w:pPr>
    </w:p>
    <w:p w:rsidR="007C6282" w:rsidRDefault="007C6282" w:rsidP="007C6282">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la “Consulta” </w:t>
      </w:r>
      <w:r w:rsidRPr="00DF7866">
        <w:rPr>
          <w:rFonts w:ascii="Arial" w:hAnsi="Arial" w:cs="Arial"/>
          <w:sz w:val="24"/>
          <w:szCs w:val="24"/>
          <w:lang w:val="es-ES"/>
        </w:rPr>
        <w:t xml:space="preserve">con una eficiencia del </w:t>
      </w:r>
      <w:r>
        <w:rPr>
          <w:rFonts w:ascii="Arial" w:hAnsi="Arial" w:cs="Arial"/>
          <w:sz w:val="24"/>
          <w:szCs w:val="24"/>
          <w:lang w:val="es-ES"/>
        </w:rPr>
        <w:t>48,48</w:t>
      </w:r>
      <w:r w:rsidRPr="00DF7866">
        <w:rPr>
          <w:rFonts w:ascii="Arial" w:hAnsi="Arial" w:cs="Arial"/>
          <w:sz w:val="24"/>
          <w:szCs w:val="24"/>
          <w:lang w:val="es-ES"/>
        </w:rPr>
        <w:t>% (</w:t>
      </w:r>
      <w:r>
        <w:rPr>
          <w:rFonts w:ascii="Arial" w:hAnsi="Arial" w:cs="Arial"/>
          <w:sz w:val="24"/>
          <w:szCs w:val="24"/>
          <w:lang w:val="es-ES"/>
        </w:rPr>
        <w:t xml:space="preserve">14,57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Pr>
          <w:rFonts w:ascii="Arial" w:hAnsi="Arial" w:cs="Arial"/>
          <w:sz w:val="24"/>
          <w:szCs w:val="24"/>
        </w:rPr>
        <w:t>88,33</w:t>
      </w:r>
      <w:r w:rsidRPr="00DF7866">
        <w:rPr>
          <w:rFonts w:ascii="Arial" w:hAnsi="Arial" w:cs="Arial"/>
          <w:sz w:val="24"/>
          <w:szCs w:val="24"/>
        </w:rPr>
        <w:t xml:space="preserve">% del tiempo límite en promedio, lo que significa </w:t>
      </w:r>
      <w:r>
        <w:rPr>
          <w:rFonts w:ascii="Arial" w:hAnsi="Arial" w:cs="Arial"/>
          <w:sz w:val="24"/>
          <w:szCs w:val="24"/>
        </w:rPr>
        <w:t>que utilizo 13,25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7C6282" w:rsidRDefault="007C6282" w:rsidP="0019796A">
      <w:pPr>
        <w:spacing w:after="0" w:line="240" w:lineRule="auto"/>
        <w:jc w:val="both"/>
        <w:rPr>
          <w:rFonts w:ascii="Arial" w:hAnsi="Arial" w:cs="Arial"/>
          <w:sz w:val="24"/>
          <w:szCs w:val="24"/>
        </w:rPr>
      </w:pPr>
    </w:p>
    <w:tbl>
      <w:tblPr>
        <w:tblStyle w:val="GridTable4Accent1"/>
        <w:tblW w:w="9379" w:type="dxa"/>
        <w:tblInd w:w="108" w:type="dxa"/>
        <w:tblLook w:val="04A0" w:firstRow="1" w:lastRow="0" w:firstColumn="1" w:lastColumn="0" w:noHBand="0" w:noVBand="1"/>
      </w:tblPr>
      <w:tblGrid>
        <w:gridCol w:w="4111"/>
        <w:gridCol w:w="1842"/>
        <w:gridCol w:w="1843"/>
        <w:gridCol w:w="1583"/>
      </w:tblGrid>
      <w:tr w:rsidR="00957302" w:rsidRPr="00957302" w:rsidTr="008A73D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957302" w:rsidRPr="00957302" w:rsidRDefault="00957302" w:rsidP="00957302">
            <w:pPr>
              <w:spacing w:after="0" w:line="240" w:lineRule="auto"/>
              <w:jc w:val="center"/>
              <w:rPr>
                <w:rFonts w:eastAsia="Times New Roman" w:cs="Calibri"/>
                <w:lang w:eastAsia="es-CO"/>
              </w:rPr>
            </w:pPr>
            <w:r w:rsidRPr="00957302">
              <w:rPr>
                <w:rFonts w:eastAsia="Times New Roman" w:cs="Calibri"/>
                <w:lang w:eastAsia="es-CO"/>
              </w:rPr>
              <w:t>TABLA No. 10 - TIEMPOS LIMITE Y PROMEDIO DE RESPUESTA</w:t>
            </w:r>
          </w:p>
        </w:tc>
      </w:tr>
      <w:tr w:rsidR="00957302" w:rsidRPr="00957302" w:rsidTr="008A73D3">
        <w:trPr>
          <w:cnfStyle w:val="100000000000" w:firstRow="1" w:lastRow="0" w:firstColumn="0" w:lastColumn="0" w:oddVBand="0" w:evenVBand="0" w:oddHBand="0" w:evenHBand="0" w:firstRowFirstColumn="0" w:firstRowLastColumn="0" w:lastRowFirstColumn="0" w:lastRowLastColumn="0"/>
          <w:trHeight w:val="1004"/>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rPr>
                <w:rFonts w:ascii="Arial" w:eastAsia="Times New Roman" w:hAnsi="Arial" w:cs="Arial"/>
                <w:sz w:val="20"/>
                <w:szCs w:val="20"/>
                <w:lang w:eastAsia="es-CO"/>
              </w:rPr>
            </w:pPr>
            <w:r w:rsidRPr="00957302">
              <w:rPr>
                <w:rFonts w:ascii="Arial" w:eastAsia="Times New Roman" w:hAnsi="Arial" w:cs="Arial"/>
                <w:sz w:val="20"/>
                <w:szCs w:val="20"/>
                <w:lang w:eastAsia="es-CO"/>
              </w:rPr>
              <w:t>TIPOLOGIA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PROMEDIO DIAS UTILIZADOS (HÁBILES) </w:t>
            </w:r>
            <w:r w:rsidRPr="00957302">
              <w:rPr>
                <w:rFonts w:ascii="Arial" w:eastAsia="Times New Roman" w:hAnsi="Arial" w:cs="Arial"/>
                <w:sz w:val="18"/>
                <w:szCs w:val="18"/>
                <w:lang w:eastAsia="es-CO"/>
              </w:rPr>
              <w:t>(1)</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MÁXIMO DE DIAS (HÁBILES) </w:t>
            </w:r>
            <w:r w:rsidRPr="00957302">
              <w:rPr>
                <w:rFonts w:ascii="Arial" w:eastAsia="Times New Roman" w:hAnsi="Arial" w:cs="Arial"/>
                <w:sz w:val="18"/>
                <w:szCs w:val="18"/>
                <w:lang w:eastAsia="es-CO"/>
              </w:rPr>
              <w:t>(2)</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PORCENTAJE DE EFICACIA </w:t>
            </w:r>
            <w:r w:rsidRPr="00957302">
              <w:rPr>
                <w:rFonts w:ascii="Arial" w:eastAsia="Times New Roman" w:hAnsi="Arial" w:cs="Arial"/>
                <w:sz w:val="18"/>
                <w:szCs w:val="18"/>
                <w:lang w:eastAsia="es-CO"/>
              </w:rPr>
              <w:t>((1) / (2) * 100)</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tcBorders>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Consulta</w:t>
            </w:r>
          </w:p>
        </w:tc>
        <w:tc>
          <w:tcPr>
            <w:tcW w:w="1842"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15,43</w:t>
            </w:r>
          </w:p>
        </w:tc>
        <w:tc>
          <w:tcPr>
            <w:tcW w:w="1843"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30,00</w:t>
            </w:r>
          </w:p>
        </w:tc>
        <w:tc>
          <w:tcPr>
            <w:tcW w:w="1583"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51,42%</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Denuncia por actos de </w:t>
            </w:r>
            <w:r w:rsidR="00833FC3" w:rsidRPr="00957302">
              <w:rPr>
                <w:rFonts w:eastAsia="Times New Roman" w:cs="Calibri"/>
                <w:b w:val="0"/>
                <w:color w:val="0D0D0D"/>
                <w:lang w:eastAsia="es-CO"/>
              </w:rPr>
              <w:t>corrupción</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13,25</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88,33%</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Derecho de </w:t>
            </w:r>
            <w:r w:rsidR="00833FC3" w:rsidRPr="00957302">
              <w:rPr>
                <w:rFonts w:eastAsia="Times New Roman" w:cs="Calibri"/>
                <w:b w:val="0"/>
                <w:color w:val="0D0D0D"/>
                <w:lang w:eastAsia="es-CO"/>
              </w:rPr>
              <w:t>petición</w:t>
            </w:r>
            <w:r w:rsidRPr="00957302">
              <w:rPr>
                <w:rFonts w:eastAsia="Times New Roman" w:cs="Calibri"/>
                <w:b w:val="0"/>
                <w:color w:val="0D0D0D"/>
                <w:lang w:eastAsia="es-CO"/>
              </w:rPr>
              <w:t xml:space="preserve"> de </w:t>
            </w:r>
            <w:r w:rsidR="00833FC3" w:rsidRPr="00957302">
              <w:rPr>
                <w:rFonts w:eastAsia="Times New Roman" w:cs="Calibri"/>
                <w:b w:val="0"/>
                <w:color w:val="0D0D0D"/>
                <w:lang w:eastAsia="es-CO"/>
              </w:rPr>
              <w:t>interés</w:t>
            </w:r>
            <w:r w:rsidRPr="00957302">
              <w:rPr>
                <w:rFonts w:eastAsia="Times New Roman" w:cs="Calibri"/>
                <w:b w:val="0"/>
                <w:color w:val="0D0D0D"/>
                <w:lang w:eastAsia="es-CO"/>
              </w:rPr>
              <w:t xml:space="preserve"> general</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9,98</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66,53%</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Derecho de </w:t>
            </w:r>
            <w:r w:rsidR="00833FC3" w:rsidRPr="00957302">
              <w:rPr>
                <w:rFonts w:eastAsia="Times New Roman" w:cs="Calibri"/>
                <w:b w:val="0"/>
                <w:color w:val="0D0D0D"/>
                <w:lang w:eastAsia="es-CO"/>
              </w:rPr>
              <w:t>petición</w:t>
            </w:r>
            <w:r w:rsidRPr="00957302">
              <w:rPr>
                <w:rFonts w:eastAsia="Times New Roman" w:cs="Calibri"/>
                <w:b w:val="0"/>
                <w:color w:val="0D0D0D"/>
                <w:lang w:eastAsia="es-CO"/>
              </w:rPr>
              <w:t xml:space="preserve"> de </w:t>
            </w:r>
            <w:r w:rsidR="00833FC3" w:rsidRPr="00957302">
              <w:rPr>
                <w:rFonts w:eastAsia="Times New Roman" w:cs="Calibri"/>
                <w:b w:val="0"/>
                <w:color w:val="0D0D0D"/>
                <w:lang w:eastAsia="es-CO"/>
              </w:rPr>
              <w:t>interés</w:t>
            </w:r>
            <w:r w:rsidRPr="00957302">
              <w:rPr>
                <w:rFonts w:eastAsia="Times New Roman" w:cs="Calibri"/>
                <w:b w:val="0"/>
                <w:color w:val="0D0D0D"/>
                <w:lang w:eastAsia="es-CO"/>
              </w:rPr>
              <w:t xml:space="preserve"> particular</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9,85</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65,65%</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833FC3"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Felicitación</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20,00</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133,33%</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Queja</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7,32</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48,78%</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Reclamo</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8,33</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55,56%</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Solicitud de acceso a la </w:t>
            </w:r>
            <w:r w:rsidR="00833FC3" w:rsidRPr="00957302">
              <w:rPr>
                <w:rFonts w:eastAsia="Times New Roman" w:cs="Calibri"/>
                <w:b w:val="0"/>
                <w:color w:val="0D0D0D"/>
                <w:lang w:eastAsia="es-CO"/>
              </w:rPr>
              <w:t>información</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7,87</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10,00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78,69%</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Solicitud de copia</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6,64</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10,00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66,44%</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Sugerencia</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86,67%</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noWrap/>
            <w:hideMark/>
          </w:tcPr>
          <w:p w:rsidR="00957302" w:rsidRPr="00957302" w:rsidRDefault="00957302" w:rsidP="00957302">
            <w:pPr>
              <w:spacing w:after="0" w:line="240" w:lineRule="auto"/>
              <w:rPr>
                <w:rFonts w:eastAsia="Times New Roman" w:cs="Calibri"/>
                <w:color w:val="0D0D0D"/>
                <w:lang w:eastAsia="es-CO"/>
              </w:rPr>
            </w:pPr>
            <w:r w:rsidRPr="00957302">
              <w:rPr>
                <w:rFonts w:eastAsia="Times New Roman" w:cs="Calibri"/>
                <w:color w:val="0D0D0D"/>
                <w:lang w:eastAsia="es-CO"/>
              </w:rPr>
              <w:t>Total</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11,17</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15,50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72,04%</w:t>
            </w:r>
          </w:p>
        </w:tc>
      </w:tr>
    </w:tbl>
    <w:p w:rsidR="0079375B" w:rsidRDefault="0079375B" w:rsidP="0079375B">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17487" w:rsidRDefault="00117487" w:rsidP="0019796A">
      <w:pPr>
        <w:spacing w:after="0" w:line="240" w:lineRule="auto"/>
        <w:jc w:val="both"/>
        <w:rPr>
          <w:rFonts w:ascii="Arial" w:hAnsi="Arial" w:cs="Arial"/>
          <w:sz w:val="24"/>
          <w:szCs w:val="24"/>
        </w:rPr>
      </w:pPr>
    </w:p>
    <w:p w:rsidR="008A73D3" w:rsidRDefault="008A73D3" w:rsidP="0019796A">
      <w:pPr>
        <w:spacing w:after="0" w:line="240" w:lineRule="auto"/>
        <w:jc w:val="both"/>
        <w:rPr>
          <w:rFonts w:ascii="Arial" w:hAnsi="Arial" w:cs="Arial"/>
          <w:sz w:val="24"/>
          <w:szCs w:val="24"/>
        </w:rPr>
      </w:pPr>
      <w:r>
        <w:rPr>
          <w:noProof/>
          <w:lang w:eastAsia="es-CO"/>
        </w:rPr>
        <w:drawing>
          <wp:inline distT="0" distB="0" distL="0" distR="0" wp14:anchorId="303A1325" wp14:editId="3EFD4324">
            <wp:extent cx="5943600" cy="3152775"/>
            <wp:effectExtent l="0" t="0" r="0" b="9525"/>
            <wp:docPr id="8" name="Gráfico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28265A7-188F-4FC5-A106-86D811ED3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1C5D" w:rsidRDefault="003E1C5D" w:rsidP="003E1C5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3A2ADF" w:rsidRDefault="003A2ADF" w:rsidP="007F39F2">
      <w:pPr>
        <w:spacing w:after="0" w:line="240" w:lineRule="auto"/>
        <w:jc w:val="both"/>
        <w:rPr>
          <w:rFonts w:ascii="Arial" w:hAnsi="Arial" w:cs="Arial"/>
          <w:sz w:val="24"/>
          <w:szCs w:val="24"/>
          <w:lang w:val="es-ES"/>
        </w:rPr>
      </w:pPr>
      <w:bookmarkStart w:id="58" w:name="_Hlk6944001"/>
    </w:p>
    <w:p w:rsidR="007F39F2" w:rsidRPr="00DF7866" w:rsidRDefault="007F39F2" w:rsidP="007F39F2">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conclusión es que las </w:t>
      </w:r>
      <w:r w:rsidR="00670759">
        <w:rPr>
          <w:rFonts w:ascii="Arial" w:hAnsi="Arial" w:cs="Arial"/>
          <w:sz w:val="24"/>
          <w:szCs w:val="24"/>
          <w:lang w:val="es-ES"/>
        </w:rPr>
        <w:t xml:space="preserve">catorce </w:t>
      </w:r>
      <w:r w:rsidRPr="00DF7866">
        <w:rPr>
          <w:rFonts w:ascii="Arial" w:hAnsi="Arial" w:cs="Arial"/>
          <w:sz w:val="24"/>
          <w:szCs w:val="24"/>
          <w:lang w:val="es-ES"/>
        </w:rPr>
        <w:t>(</w:t>
      </w:r>
      <w:r w:rsidR="00670759">
        <w:rPr>
          <w:rFonts w:ascii="Arial" w:hAnsi="Arial" w:cs="Arial"/>
          <w:sz w:val="24"/>
          <w:szCs w:val="24"/>
          <w:lang w:val="es-ES"/>
        </w:rPr>
        <w:t>14</w:t>
      </w:r>
      <w:r w:rsidRPr="00DF7866">
        <w:rPr>
          <w:rFonts w:ascii="Arial" w:hAnsi="Arial" w:cs="Arial"/>
          <w:sz w:val="24"/>
          <w:szCs w:val="24"/>
          <w:lang w:val="es-ES"/>
        </w:rPr>
        <w:t xml:space="preserve">) </w:t>
      </w:r>
      <w:r>
        <w:rPr>
          <w:rFonts w:ascii="Arial" w:hAnsi="Arial" w:cs="Arial"/>
          <w:sz w:val="24"/>
          <w:szCs w:val="24"/>
          <w:lang w:val="es-ES"/>
        </w:rPr>
        <w:t xml:space="preserve">áreas o </w:t>
      </w:r>
      <w:r w:rsidRPr="00DF7866">
        <w:rPr>
          <w:rFonts w:ascii="Arial" w:hAnsi="Arial" w:cs="Arial"/>
          <w:sz w:val="24"/>
          <w:szCs w:val="24"/>
          <w:lang w:val="es-ES"/>
        </w:rPr>
        <w:t xml:space="preserve">dependencias que dieron respuesta a las </w:t>
      </w:r>
      <w:r w:rsidR="00670759">
        <w:rPr>
          <w:rFonts w:ascii="Arial" w:hAnsi="Arial" w:cs="Arial"/>
          <w:sz w:val="24"/>
          <w:szCs w:val="24"/>
          <w:lang w:val="es-ES"/>
        </w:rPr>
        <w:t>2.118</w:t>
      </w:r>
      <w:r>
        <w:rPr>
          <w:rFonts w:ascii="Arial" w:hAnsi="Arial" w:cs="Arial"/>
          <w:sz w:val="24"/>
          <w:szCs w:val="24"/>
          <w:lang w:val="es-ES"/>
        </w:rPr>
        <w:t xml:space="preserve"> </w:t>
      </w:r>
      <w:r w:rsidRPr="00DF7866">
        <w:rPr>
          <w:rFonts w:ascii="Arial" w:hAnsi="Arial" w:cs="Arial"/>
          <w:sz w:val="24"/>
          <w:szCs w:val="24"/>
          <w:lang w:val="es-ES"/>
        </w:rPr>
        <w:t xml:space="preserve">PQRSD para el </w:t>
      </w:r>
      <w:r w:rsidR="00670759">
        <w:rPr>
          <w:rFonts w:ascii="Arial" w:hAnsi="Arial" w:cs="Arial"/>
          <w:sz w:val="24"/>
          <w:szCs w:val="24"/>
          <w:lang w:val="es-ES"/>
        </w:rPr>
        <w:t>primer semestre de 2019</w:t>
      </w:r>
      <w:r w:rsidRPr="00DF7866">
        <w:rPr>
          <w:rFonts w:ascii="Arial" w:hAnsi="Arial" w:cs="Arial"/>
          <w:sz w:val="24"/>
          <w:szCs w:val="24"/>
          <w:lang w:val="es-ES"/>
        </w:rPr>
        <w:t xml:space="preserve">, emplearon en promedio </w:t>
      </w:r>
      <w:r w:rsidR="009C69B7">
        <w:rPr>
          <w:rFonts w:ascii="Arial" w:hAnsi="Arial" w:cs="Arial"/>
          <w:sz w:val="24"/>
          <w:szCs w:val="24"/>
          <w:lang w:val="es-ES"/>
        </w:rPr>
        <w:t>9,68</w:t>
      </w:r>
      <w:r>
        <w:rPr>
          <w:rFonts w:ascii="Arial" w:hAnsi="Arial" w:cs="Arial"/>
          <w:sz w:val="24"/>
          <w:szCs w:val="24"/>
          <w:lang w:val="es-ES"/>
        </w:rPr>
        <w:t xml:space="preserve"> </w:t>
      </w:r>
      <w:r w:rsidRPr="00DF7866">
        <w:rPr>
          <w:rFonts w:ascii="Arial" w:hAnsi="Arial" w:cs="Arial"/>
          <w:sz w:val="24"/>
          <w:szCs w:val="24"/>
          <w:lang w:val="es-ES"/>
        </w:rPr>
        <w:t xml:space="preserve">días hábiles, de los </w:t>
      </w:r>
      <w:r>
        <w:rPr>
          <w:rFonts w:ascii="Arial" w:hAnsi="Arial" w:cs="Arial"/>
          <w:sz w:val="24"/>
          <w:szCs w:val="24"/>
          <w:lang w:val="es-ES"/>
        </w:rPr>
        <w:t>15,</w:t>
      </w:r>
      <w:r w:rsidR="00401D56">
        <w:rPr>
          <w:rFonts w:ascii="Arial" w:hAnsi="Arial" w:cs="Arial"/>
          <w:sz w:val="24"/>
          <w:szCs w:val="24"/>
          <w:lang w:val="es-ES"/>
        </w:rPr>
        <w:t>50</w:t>
      </w:r>
      <w:r w:rsidRPr="00DF7866">
        <w:rPr>
          <w:rFonts w:ascii="Arial" w:hAnsi="Arial" w:cs="Arial"/>
          <w:sz w:val="24"/>
          <w:szCs w:val="24"/>
          <w:lang w:val="es-ES"/>
        </w:rPr>
        <w:t xml:space="preserve"> </w:t>
      </w:r>
      <w:r w:rsidR="00401D56">
        <w:rPr>
          <w:rFonts w:ascii="Arial" w:hAnsi="Arial" w:cs="Arial"/>
          <w:sz w:val="24"/>
          <w:szCs w:val="24"/>
          <w:lang w:val="es-ES"/>
        </w:rPr>
        <w:t xml:space="preserve">días hábiles </w:t>
      </w:r>
      <w:r w:rsidRPr="00DF7866">
        <w:rPr>
          <w:rFonts w:ascii="Arial" w:hAnsi="Arial" w:cs="Arial"/>
          <w:sz w:val="24"/>
          <w:szCs w:val="24"/>
          <w:lang w:val="es-ES"/>
        </w:rPr>
        <w:t xml:space="preserve">promedio máximo que permite la Ley, permitiendo que se ahorraran en promedio </w:t>
      </w:r>
      <w:r w:rsidR="00401D56">
        <w:rPr>
          <w:rFonts w:ascii="Arial" w:hAnsi="Arial" w:cs="Arial"/>
          <w:sz w:val="24"/>
          <w:szCs w:val="24"/>
          <w:lang w:val="es-ES"/>
        </w:rPr>
        <w:t>5,82</w:t>
      </w:r>
      <w:r w:rsidRPr="00DF7866">
        <w:rPr>
          <w:rFonts w:ascii="Arial" w:hAnsi="Arial" w:cs="Arial"/>
          <w:sz w:val="24"/>
          <w:szCs w:val="24"/>
          <w:lang w:val="es-ES"/>
        </w:rPr>
        <w:t xml:space="preserve"> días hábiles.</w:t>
      </w:r>
    </w:p>
    <w:p w:rsidR="007F39F2" w:rsidRDefault="007F39F2" w:rsidP="007F39F2">
      <w:pPr>
        <w:spacing w:after="0" w:line="240" w:lineRule="auto"/>
        <w:rPr>
          <w:rFonts w:ascii="Arial" w:hAnsi="Arial" w:cs="Arial"/>
          <w:sz w:val="24"/>
          <w:szCs w:val="24"/>
          <w:lang w:val="es-ES"/>
        </w:rPr>
      </w:pPr>
    </w:p>
    <w:p w:rsidR="007F39F2" w:rsidRPr="00AF70F3" w:rsidRDefault="007F39F2" w:rsidP="007F39F2">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8"/>
    <w:p w:rsidR="007F39F2" w:rsidRDefault="007F39F2" w:rsidP="007F39F2">
      <w:pPr>
        <w:spacing w:after="0" w:line="240" w:lineRule="auto"/>
        <w:rPr>
          <w:rFonts w:ascii="Arial" w:hAnsi="Arial" w:cs="Arial"/>
          <w:sz w:val="24"/>
          <w:szCs w:val="24"/>
          <w:lang w:val="es-ES"/>
        </w:rPr>
      </w:pPr>
    </w:p>
    <w:p w:rsidR="00712474" w:rsidRDefault="00712474" w:rsidP="007F39F2">
      <w:pPr>
        <w:spacing w:after="0" w:line="240" w:lineRule="auto"/>
        <w:rPr>
          <w:rFonts w:ascii="Arial" w:hAnsi="Arial" w:cs="Arial"/>
          <w:sz w:val="24"/>
          <w:szCs w:val="24"/>
          <w:lang w:val="es-ES"/>
        </w:rPr>
      </w:pPr>
    </w:p>
    <w:p w:rsidR="007720AA" w:rsidRDefault="007720AA" w:rsidP="007F39F2">
      <w:pPr>
        <w:spacing w:after="0" w:line="240" w:lineRule="auto"/>
        <w:rPr>
          <w:rFonts w:ascii="Arial" w:hAnsi="Arial" w:cs="Arial"/>
          <w:sz w:val="24"/>
          <w:szCs w:val="24"/>
          <w:lang w:val="es-ES"/>
        </w:rPr>
      </w:pPr>
    </w:p>
    <w:p w:rsidR="007C5503" w:rsidRPr="00DF7866" w:rsidRDefault="007C5503" w:rsidP="00FD567B">
      <w:pPr>
        <w:spacing w:after="0" w:line="240" w:lineRule="auto"/>
        <w:rPr>
          <w:rFonts w:ascii="Arial" w:hAnsi="Arial" w:cs="Arial"/>
          <w:sz w:val="24"/>
          <w:szCs w:val="24"/>
          <w:lang w:val="es-ES"/>
        </w:rPr>
      </w:pPr>
    </w:p>
    <w:p w:rsidR="00800F9C" w:rsidRPr="00DF7866" w:rsidRDefault="00D1321D" w:rsidP="00FD567B">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800F9C" w:rsidRPr="00DF7866" w:rsidRDefault="00800F9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800F9C" w:rsidRPr="00D1321D" w:rsidRDefault="00800F9C" w:rsidP="00EF1BFD">
      <w:pPr>
        <w:spacing w:after="0" w:line="240" w:lineRule="auto"/>
        <w:rPr>
          <w:rFonts w:ascii="Arial" w:hAnsi="Arial" w:cs="Arial"/>
          <w:sz w:val="24"/>
          <w:szCs w:val="24"/>
        </w:rPr>
      </w:pPr>
    </w:p>
    <w:p w:rsidR="00D1321D" w:rsidRDefault="00831441" w:rsidP="00EF1BFD">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sidR="005A7D0B">
        <w:rPr>
          <w:rFonts w:ascii="Arial" w:eastAsia="Times New Roman" w:hAnsi="Arial" w:cs="Arial"/>
          <w:color w:val="222222"/>
          <w:sz w:val="16"/>
          <w:szCs w:val="16"/>
          <w:lang w:eastAsia="es-CO"/>
        </w:rPr>
        <w:t xml:space="preserve"> </w:t>
      </w:r>
      <w:r w:rsidR="005A7D0B">
        <w:rPr>
          <w:rFonts w:ascii="Arial" w:eastAsia="Times New Roman" w:hAnsi="Arial" w:cs="Arial"/>
          <w:color w:val="222222"/>
          <w:sz w:val="16"/>
          <w:szCs w:val="16"/>
          <w:lang w:eastAsia="es-CO"/>
        </w:rPr>
        <w:tab/>
      </w:r>
      <w:r w:rsidR="00D1321D" w:rsidRPr="007E2536">
        <w:rPr>
          <w:rFonts w:ascii="Arial" w:eastAsia="Times New Roman" w:hAnsi="Arial" w:cs="Arial"/>
          <w:color w:val="222222"/>
          <w:sz w:val="16"/>
          <w:szCs w:val="16"/>
          <w:lang w:eastAsia="es-CO"/>
        </w:rPr>
        <w:t>Roberto Carlos Narváez Cortés - </w:t>
      </w:r>
      <w:r w:rsidR="00D1321D" w:rsidRPr="007E2536">
        <w:rPr>
          <w:rFonts w:ascii="Arial" w:eastAsia="Times New Roman" w:hAnsi="Arial" w:cs="Arial"/>
          <w:color w:val="222222"/>
          <w:sz w:val="16"/>
          <w:szCs w:val="16"/>
          <w:shd w:val="clear" w:color="auto" w:fill="FFFFFF"/>
          <w:lang w:eastAsia="es-CO"/>
        </w:rPr>
        <w:t>Contratista (</w:t>
      </w:r>
      <w:r w:rsidR="00D1321D">
        <w:rPr>
          <w:rFonts w:ascii="Arial" w:eastAsia="Times New Roman" w:hAnsi="Arial" w:cs="Arial"/>
          <w:color w:val="222222"/>
          <w:sz w:val="16"/>
          <w:szCs w:val="16"/>
          <w:shd w:val="clear" w:color="auto" w:fill="FFFFFF"/>
          <w:lang w:eastAsia="es-CO"/>
        </w:rPr>
        <w:t>030 de 2019</w:t>
      </w:r>
      <w:r w:rsidR="00D1321D" w:rsidRPr="007E2536">
        <w:rPr>
          <w:rFonts w:ascii="Arial" w:eastAsia="Times New Roman" w:hAnsi="Arial" w:cs="Arial"/>
          <w:color w:val="222222"/>
          <w:sz w:val="16"/>
          <w:szCs w:val="16"/>
          <w:shd w:val="clear" w:color="auto" w:fill="FFFFFF"/>
          <w:lang w:eastAsia="es-CO"/>
        </w:rPr>
        <w:t>)</w:t>
      </w:r>
    </w:p>
    <w:p w:rsidR="00831441" w:rsidRPr="007E2536" w:rsidRDefault="00831441" w:rsidP="00EF1BFD">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sidR="005A7D0B">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p w:rsidR="00800F9C" w:rsidRPr="00DF7866" w:rsidRDefault="00800F9C" w:rsidP="00EF1BFD">
      <w:pPr>
        <w:spacing w:after="0" w:line="240" w:lineRule="auto"/>
        <w:rPr>
          <w:rFonts w:ascii="Arial" w:hAnsi="Arial" w:cs="Arial"/>
          <w:sz w:val="24"/>
          <w:szCs w:val="24"/>
        </w:rPr>
      </w:pPr>
    </w:p>
    <w:sectPr w:rsidR="00800F9C" w:rsidRPr="00DF7866" w:rsidSect="00900DA5">
      <w:headerReference w:type="default" r:id="rId18"/>
      <w:footerReference w:type="default" r:id="rId19"/>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9AE" w:rsidRDefault="00BD39AE" w:rsidP="000C58E8">
      <w:pPr>
        <w:spacing w:after="0" w:line="240" w:lineRule="auto"/>
      </w:pPr>
      <w:r>
        <w:separator/>
      </w:r>
    </w:p>
  </w:endnote>
  <w:endnote w:type="continuationSeparator" w:id="0">
    <w:p w:rsidR="00BD39AE" w:rsidRDefault="00BD39AE"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E6" w:rsidRDefault="00EF46E6"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8F03D0" w:rsidRPr="008F03D0">
      <w:rPr>
        <w:b/>
        <w:bCs/>
        <w:noProof/>
        <w:lang w:val="es-ES"/>
      </w:rPr>
      <w:t>16</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8F03D0" w:rsidRPr="008F03D0">
      <w:rPr>
        <w:b/>
        <w:bCs/>
        <w:noProof/>
        <w:lang w:val="es-ES"/>
      </w:rPr>
      <w:t>16</w:t>
    </w:r>
    <w:r>
      <w:rPr>
        <w:b/>
        <w:bCs/>
      </w:rPr>
      <w:fldChar w:fldCharType="end"/>
    </w:r>
    <w:r>
      <w:rPr>
        <w:noProof/>
        <w:lang w:eastAsia="es-CO"/>
      </w:rPr>
      <mc:AlternateContent>
        <mc:Choice Requires="wps">
          <w:drawing>
            <wp:anchor distT="0" distB="0" distL="114300" distR="114300" simplePos="0" relativeHeight="251659264" behindDoc="0" locked="0" layoutInCell="1" allowOverlap="1" wp14:anchorId="3A0F1E20" wp14:editId="71037FB3">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46E6" w:rsidRPr="00643927" w:rsidRDefault="00EF46E6"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EF46E6" w:rsidRPr="00643927" w:rsidRDefault="00EF46E6"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EF46E6" w:rsidRPr="00643927" w:rsidRDefault="00EF46E6"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EF46E6" w:rsidRPr="00F70E87" w:rsidRDefault="00EF46E6"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E9E720" id="3 Rectángulo" o:spid="_x0000_s1026" style="position:absolute;left:0;text-align:left;margin-left:-2.55pt;margin-top:2.95pt;width:6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EF46E6" w:rsidRPr="00643927" w:rsidRDefault="00EF46E6"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EF46E6" w:rsidRPr="00643927" w:rsidRDefault="00EF46E6"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EF46E6" w:rsidRPr="00643927" w:rsidRDefault="00EF46E6"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EF46E6" w:rsidRPr="00F70E87" w:rsidRDefault="00EF46E6"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8239" behindDoc="1" locked="0" layoutInCell="1" allowOverlap="1" wp14:anchorId="2E46DA35" wp14:editId="6F2DF78C">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9AE" w:rsidRDefault="00BD39AE" w:rsidP="000C58E8">
      <w:pPr>
        <w:spacing w:after="0" w:line="240" w:lineRule="auto"/>
      </w:pPr>
      <w:r>
        <w:separator/>
      </w:r>
    </w:p>
  </w:footnote>
  <w:footnote w:type="continuationSeparator" w:id="0">
    <w:p w:rsidR="00BD39AE" w:rsidRDefault="00BD39AE" w:rsidP="000C58E8">
      <w:pPr>
        <w:spacing w:after="0" w:line="240" w:lineRule="auto"/>
      </w:pPr>
      <w:r>
        <w:continuationSeparator/>
      </w:r>
    </w:p>
  </w:footnote>
  <w:footnote w:id="1">
    <w:p w:rsidR="00EF46E6" w:rsidRPr="00B74C9B" w:rsidRDefault="00EF46E6"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w:t>
      </w:r>
      <w:r>
        <w:rPr>
          <w:sz w:val="18"/>
          <w:szCs w:val="18"/>
        </w:rPr>
        <w:t xml:space="preserve">junio </w:t>
      </w:r>
      <w:r w:rsidRPr="00B74C9B">
        <w:rPr>
          <w:sz w:val="18"/>
          <w:szCs w:val="18"/>
        </w:rPr>
        <w:t xml:space="preserve">y que tenían fecha imperativa de solución en el mismo mes. </w:t>
      </w:r>
    </w:p>
  </w:footnote>
  <w:footnote w:id="2">
    <w:p w:rsidR="00EF46E6" w:rsidRPr="00B74C9B" w:rsidRDefault="00EF46E6"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mes de presentación. </w:t>
      </w:r>
    </w:p>
  </w:footnote>
  <w:footnote w:id="3">
    <w:p w:rsidR="00EF46E6" w:rsidRPr="00BA6D6C" w:rsidRDefault="00EF46E6" w:rsidP="00BA6D6C">
      <w:pPr>
        <w:pStyle w:val="Textonotapie"/>
        <w:jc w:val="both"/>
        <w:rPr>
          <w:rFonts w:ascii="Arial" w:hAnsi="Arial" w:cs="Arial"/>
          <w:sz w:val="16"/>
          <w:szCs w:val="16"/>
        </w:rPr>
      </w:pPr>
      <w:r>
        <w:rPr>
          <w:rStyle w:val="Refdenotaalpie"/>
        </w:rPr>
        <w:footnoteRef/>
      </w:r>
      <w:r>
        <w:t xml:space="preserve"> </w:t>
      </w:r>
      <w:r w:rsidRPr="00BA6D6C">
        <w:rPr>
          <w:rFonts w:ascii="Arial" w:hAnsi="Arial" w:cs="Arial"/>
          <w:sz w:val="16"/>
          <w:szCs w:val="16"/>
        </w:rPr>
        <w:t xml:space="preserve">Las convenciones para la Dependencias son: </w:t>
      </w:r>
      <w:r w:rsidRPr="00032773">
        <w:rPr>
          <w:rFonts w:ascii="Arial" w:hAnsi="Arial" w:cs="Arial"/>
          <w:b/>
          <w:sz w:val="16"/>
          <w:szCs w:val="16"/>
        </w:rPr>
        <w:t>ACI</w:t>
      </w:r>
      <w:r w:rsidRPr="00BA6D6C">
        <w:rPr>
          <w:rFonts w:ascii="Arial" w:hAnsi="Arial" w:cs="Arial"/>
          <w:sz w:val="16"/>
          <w:szCs w:val="16"/>
        </w:rPr>
        <w:t xml:space="preserve">: Asesor de Control Interno, </w:t>
      </w:r>
      <w:r w:rsidRPr="00032773">
        <w:rPr>
          <w:rFonts w:ascii="Arial" w:hAnsi="Arial" w:cs="Arial"/>
          <w:b/>
          <w:sz w:val="16"/>
          <w:szCs w:val="16"/>
        </w:rPr>
        <w:t>ASC</w:t>
      </w:r>
      <w:r w:rsidRPr="00BA6D6C">
        <w:rPr>
          <w:rFonts w:ascii="Arial" w:hAnsi="Arial" w:cs="Arial"/>
          <w:sz w:val="16"/>
          <w:szCs w:val="16"/>
        </w:rPr>
        <w:t xml:space="preserve">: Área de Servicio al Ciudadano, </w:t>
      </w:r>
      <w:r w:rsidRPr="00032773">
        <w:rPr>
          <w:rFonts w:ascii="Arial" w:hAnsi="Arial" w:cs="Arial"/>
          <w:b/>
          <w:sz w:val="16"/>
          <w:szCs w:val="16"/>
        </w:rPr>
        <w:t>DGC-CID</w:t>
      </w:r>
      <w:r w:rsidRPr="00BA6D6C">
        <w:rPr>
          <w:rFonts w:ascii="Arial" w:hAnsi="Arial" w:cs="Arial"/>
          <w:sz w:val="16"/>
          <w:szCs w:val="16"/>
        </w:rPr>
        <w:t xml:space="preserve">: Dirección de Gestión Corporativa y Control Interno Disciplinario, </w:t>
      </w:r>
      <w:r w:rsidRPr="00032773">
        <w:rPr>
          <w:rFonts w:ascii="Arial" w:hAnsi="Arial" w:cs="Arial"/>
          <w:b/>
          <w:sz w:val="16"/>
          <w:szCs w:val="16"/>
        </w:rPr>
        <w:t>DJ</w:t>
      </w:r>
      <w:r w:rsidRPr="00BA6D6C">
        <w:rPr>
          <w:rFonts w:ascii="Arial" w:hAnsi="Arial" w:cs="Arial"/>
          <w:sz w:val="16"/>
          <w:szCs w:val="16"/>
        </w:rPr>
        <w:t xml:space="preserve">: Dirección Jurídica, </w:t>
      </w:r>
      <w:r w:rsidRPr="00032773">
        <w:rPr>
          <w:rFonts w:ascii="Arial" w:hAnsi="Arial" w:cs="Arial"/>
          <w:b/>
          <w:sz w:val="16"/>
          <w:szCs w:val="16"/>
        </w:rPr>
        <w:t>DMB</w:t>
      </w:r>
      <w:r w:rsidRPr="00BA6D6C">
        <w:rPr>
          <w:rFonts w:ascii="Arial" w:hAnsi="Arial" w:cs="Arial"/>
          <w:sz w:val="16"/>
          <w:szCs w:val="16"/>
        </w:rPr>
        <w:t xml:space="preserve">: Dirección de Mejoramiento de Barrios, </w:t>
      </w:r>
      <w:r w:rsidRPr="00032773">
        <w:rPr>
          <w:rFonts w:ascii="Arial" w:hAnsi="Arial" w:cs="Arial"/>
          <w:b/>
          <w:sz w:val="16"/>
          <w:szCs w:val="16"/>
        </w:rPr>
        <w:t>DRH</w:t>
      </w:r>
      <w:r w:rsidRPr="00BA6D6C">
        <w:rPr>
          <w:rFonts w:ascii="Arial" w:hAnsi="Arial" w:cs="Arial"/>
          <w:sz w:val="16"/>
          <w:szCs w:val="16"/>
        </w:rPr>
        <w:t xml:space="preserve">: Dirección de Reasentamientos Humanos, </w:t>
      </w:r>
      <w:r w:rsidRPr="00032773">
        <w:rPr>
          <w:rFonts w:ascii="Arial" w:hAnsi="Arial" w:cs="Arial"/>
          <w:b/>
          <w:sz w:val="16"/>
          <w:szCs w:val="16"/>
        </w:rPr>
        <w:t>DUT</w:t>
      </w:r>
      <w:r w:rsidRPr="00BA6D6C">
        <w:rPr>
          <w:rFonts w:ascii="Arial" w:hAnsi="Arial" w:cs="Arial"/>
          <w:sz w:val="16"/>
          <w:szCs w:val="16"/>
        </w:rPr>
        <w:t xml:space="preserve">; Dirección de Urbanizaciones y Titulación, </w:t>
      </w:r>
      <w:r w:rsidRPr="00032773">
        <w:rPr>
          <w:rFonts w:ascii="Arial" w:hAnsi="Arial" w:cs="Arial"/>
          <w:b/>
          <w:sz w:val="16"/>
          <w:szCs w:val="16"/>
        </w:rPr>
        <w:t>OT</w:t>
      </w:r>
      <w:r w:rsidRPr="00BA6D6C">
        <w:rPr>
          <w:rFonts w:ascii="Arial" w:hAnsi="Arial" w:cs="Arial"/>
          <w:sz w:val="16"/>
          <w:szCs w:val="16"/>
        </w:rPr>
        <w:t xml:space="preserve">: Oficina de Tecnologías de la Información y Comunicaciones, </w:t>
      </w:r>
      <w:r w:rsidRPr="00032773">
        <w:rPr>
          <w:rFonts w:ascii="Arial" w:hAnsi="Arial" w:cs="Arial"/>
          <w:b/>
          <w:sz w:val="16"/>
          <w:szCs w:val="16"/>
        </w:rPr>
        <w:t>SADM</w:t>
      </w:r>
      <w:r w:rsidRPr="00BA6D6C">
        <w:rPr>
          <w:rFonts w:ascii="Arial" w:hAnsi="Arial" w:cs="Arial"/>
          <w:sz w:val="16"/>
          <w:szCs w:val="16"/>
        </w:rPr>
        <w:t>: Subdirección Administrativa.</w:t>
      </w:r>
    </w:p>
  </w:footnote>
  <w:footnote w:id="4">
    <w:p w:rsidR="00EF46E6" w:rsidRPr="00BA6D6C" w:rsidRDefault="00EF46E6" w:rsidP="00BA6D6C">
      <w:pPr>
        <w:pStyle w:val="Textonotapie"/>
        <w:jc w:val="both"/>
        <w:rPr>
          <w:rFonts w:ascii="Arial" w:hAnsi="Arial" w:cs="Arial"/>
          <w:sz w:val="16"/>
          <w:szCs w:val="16"/>
        </w:rPr>
      </w:pPr>
      <w:r w:rsidRPr="00BA6D6C">
        <w:rPr>
          <w:rStyle w:val="Refdenotaalpie"/>
          <w:rFonts w:ascii="Arial" w:hAnsi="Arial" w:cs="Arial"/>
          <w:sz w:val="16"/>
          <w:szCs w:val="16"/>
        </w:rPr>
        <w:footnoteRef/>
      </w:r>
      <w:r w:rsidRPr="00BA6D6C">
        <w:rPr>
          <w:rFonts w:ascii="Arial" w:hAnsi="Arial" w:cs="Arial"/>
          <w:sz w:val="16"/>
          <w:szCs w:val="16"/>
        </w:rPr>
        <w:t xml:space="preserve"> Sigla por el tipo de Tipología: </w:t>
      </w:r>
      <w:r w:rsidRPr="00BA6D6C">
        <w:rPr>
          <w:rFonts w:ascii="Arial" w:eastAsia="Times New Roman" w:hAnsi="Arial" w:cs="Arial"/>
          <w:b/>
          <w:color w:val="000000"/>
          <w:sz w:val="16"/>
          <w:szCs w:val="16"/>
          <w:lang w:eastAsia="es-CO"/>
        </w:rPr>
        <w:t>C</w:t>
      </w:r>
      <w:r w:rsidRPr="00BA6D6C">
        <w:rPr>
          <w:rFonts w:ascii="Arial" w:eastAsia="Times New Roman" w:hAnsi="Arial" w:cs="Arial"/>
          <w:color w:val="000000"/>
          <w:sz w:val="16"/>
          <w:szCs w:val="16"/>
          <w:lang w:eastAsia="es-CO"/>
        </w:rPr>
        <w:t xml:space="preserve"> – Consulta; </w:t>
      </w:r>
      <w:r w:rsidRPr="00BA6D6C">
        <w:rPr>
          <w:rFonts w:ascii="Arial" w:eastAsia="Times New Roman" w:hAnsi="Arial" w:cs="Arial"/>
          <w:b/>
          <w:color w:val="000000"/>
          <w:sz w:val="16"/>
          <w:szCs w:val="16"/>
          <w:lang w:eastAsia="es-CO"/>
        </w:rPr>
        <w:t>DAC</w:t>
      </w:r>
      <w:r w:rsidRPr="00BA6D6C">
        <w:rPr>
          <w:rFonts w:ascii="Arial" w:eastAsia="Times New Roman" w:hAnsi="Arial" w:cs="Arial"/>
          <w:color w:val="000000"/>
          <w:sz w:val="16"/>
          <w:szCs w:val="16"/>
          <w:lang w:eastAsia="es-CO"/>
        </w:rPr>
        <w:t xml:space="preserve"> - Denuncia por actos de corrupción</w:t>
      </w:r>
      <w:r w:rsidRPr="00BA6D6C">
        <w:rPr>
          <w:rFonts w:ascii="Arial" w:eastAsia="Times New Roman" w:hAnsi="Arial" w:cs="Arial"/>
          <w:b/>
          <w:color w:val="000000"/>
          <w:sz w:val="16"/>
          <w:szCs w:val="16"/>
          <w:lang w:eastAsia="es-CO"/>
        </w:rPr>
        <w:t>; DPIG</w:t>
      </w:r>
      <w:r w:rsidRPr="00BA6D6C">
        <w:rPr>
          <w:rFonts w:ascii="Arial" w:eastAsia="Times New Roman" w:hAnsi="Arial" w:cs="Arial"/>
          <w:color w:val="000000"/>
          <w:sz w:val="16"/>
          <w:szCs w:val="16"/>
          <w:lang w:eastAsia="es-CO"/>
        </w:rPr>
        <w:t xml:space="preserve"> - Derecho de petición de interés general; </w:t>
      </w:r>
      <w:r w:rsidRPr="00BA6D6C">
        <w:rPr>
          <w:rFonts w:ascii="Arial" w:eastAsia="Times New Roman" w:hAnsi="Arial" w:cs="Arial"/>
          <w:b/>
          <w:color w:val="000000"/>
          <w:sz w:val="16"/>
          <w:szCs w:val="16"/>
          <w:lang w:eastAsia="es-CO"/>
        </w:rPr>
        <w:t>DPIP</w:t>
      </w:r>
      <w:r w:rsidRPr="00BA6D6C">
        <w:rPr>
          <w:rFonts w:ascii="Arial" w:eastAsia="Times New Roman" w:hAnsi="Arial" w:cs="Arial"/>
          <w:color w:val="000000"/>
          <w:sz w:val="16"/>
          <w:szCs w:val="16"/>
          <w:lang w:eastAsia="es-CO"/>
        </w:rPr>
        <w:t xml:space="preserve"> - Derecho de petición de interés particular; </w:t>
      </w:r>
      <w:r w:rsidRPr="00BA6D6C">
        <w:rPr>
          <w:rFonts w:ascii="Arial" w:eastAsia="Times New Roman" w:hAnsi="Arial" w:cs="Arial"/>
          <w:b/>
          <w:color w:val="000000"/>
          <w:sz w:val="16"/>
          <w:szCs w:val="16"/>
          <w:lang w:eastAsia="es-CO"/>
        </w:rPr>
        <w:t>F</w:t>
      </w:r>
      <w:r w:rsidRPr="00BA6D6C">
        <w:rPr>
          <w:rFonts w:ascii="Arial" w:eastAsia="Times New Roman" w:hAnsi="Arial" w:cs="Arial"/>
          <w:color w:val="000000"/>
          <w:sz w:val="16"/>
          <w:szCs w:val="16"/>
          <w:lang w:eastAsia="es-CO"/>
        </w:rPr>
        <w:t xml:space="preserve"> – Felicitación; </w:t>
      </w:r>
      <w:r w:rsidRPr="00BA6D6C">
        <w:rPr>
          <w:rFonts w:ascii="Arial" w:eastAsia="Times New Roman" w:hAnsi="Arial" w:cs="Arial"/>
          <w:b/>
          <w:color w:val="000000"/>
          <w:sz w:val="16"/>
          <w:szCs w:val="16"/>
          <w:lang w:eastAsia="es-CO"/>
        </w:rPr>
        <w:t>Q</w:t>
      </w:r>
      <w:r w:rsidRPr="00BA6D6C">
        <w:rPr>
          <w:rFonts w:ascii="Arial" w:eastAsia="Times New Roman" w:hAnsi="Arial" w:cs="Arial"/>
          <w:color w:val="000000"/>
          <w:sz w:val="16"/>
          <w:szCs w:val="16"/>
          <w:lang w:eastAsia="es-CO"/>
        </w:rPr>
        <w:t xml:space="preserve"> – Queja; </w:t>
      </w:r>
      <w:r w:rsidRPr="00BA6D6C">
        <w:rPr>
          <w:rFonts w:ascii="Arial" w:eastAsia="Times New Roman" w:hAnsi="Arial" w:cs="Arial"/>
          <w:b/>
          <w:color w:val="000000"/>
          <w:sz w:val="16"/>
          <w:szCs w:val="16"/>
          <w:lang w:eastAsia="es-CO"/>
        </w:rPr>
        <w:t>R</w:t>
      </w:r>
      <w:r w:rsidRPr="00BA6D6C">
        <w:rPr>
          <w:rFonts w:ascii="Arial" w:eastAsia="Times New Roman" w:hAnsi="Arial" w:cs="Arial"/>
          <w:color w:val="000000"/>
          <w:sz w:val="16"/>
          <w:szCs w:val="16"/>
          <w:lang w:eastAsia="es-CO"/>
        </w:rPr>
        <w:t xml:space="preserve"> – Reclamo; </w:t>
      </w:r>
      <w:r w:rsidRPr="00BA6D6C">
        <w:rPr>
          <w:rFonts w:ascii="Arial" w:eastAsia="Times New Roman" w:hAnsi="Arial" w:cs="Arial"/>
          <w:b/>
          <w:color w:val="000000"/>
          <w:sz w:val="16"/>
          <w:szCs w:val="16"/>
          <w:lang w:eastAsia="es-CO"/>
        </w:rPr>
        <w:t>SAI</w:t>
      </w:r>
      <w:r w:rsidRPr="00BA6D6C">
        <w:rPr>
          <w:rFonts w:ascii="Arial" w:eastAsia="Times New Roman" w:hAnsi="Arial" w:cs="Arial"/>
          <w:color w:val="000000"/>
          <w:sz w:val="16"/>
          <w:szCs w:val="16"/>
          <w:lang w:eastAsia="es-CO"/>
        </w:rPr>
        <w:t xml:space="preserve"> - Solicitud de acceso a la información; </w:t>
      </w:r>
      <w:r w:rsidRPr="00BA6D6C">
        <w:rPr>
          <w:rFonts w:ascii="Arial" w:eastAsia="Times New Roman" w:hAnsi="Arial" w:cs="Arial"/>
          <w:b/>
          <w:color w:val="000000"/>
          <w:sz w:val="16"/>
          <w:szCs w:val="16"/>
          <w:lang w:eastAsia="es-CO"/>
        </w:rPr>
        <w:t>SC</w:t>
      </w:r>
      <w:r w:rsidRPr="00BA6D6C">
        <w:rPr>
          <w:rFonts w:ascii="Arial" w:eastAsia="Times New Roman" w:hAnsi="Arial" w:cs="Arial"/>
          <w:color w:val="000000"/>
          <w:sz w:val="16"/>
          <w:szCs w:val="16"/>
          <w:lang w:eastAsia="es-CO"/>
        </w:rPr>
        <w:t xml:space="preserve"> - Solicitud de copia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E6" w:rsidRPr="00177920" w:rsidRDefault="00EF46E6"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EF46E6" w:rsidRDefault="00EF46E6"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1D77"/>
    <w:rsid w:val="000020FE"/>
    <w:rsid w:val="0000332F"/>
    <w:rsid w:val="00003ED0"/>
    <w:rsid w:val="00004084"/>
    <w:rsid w:val="00004971"/>
    <w:rsid w:val="00004D24"/>
    <w:rsid w:val="0000518A"/>
    <w:rsid w:val="00005799"/>
    <w:rsid w:val="0000655B"/>
    <w:rsid w:val="000069B0"/>
    <w:rsid w:val="00006B08"/>
    <w:rsid w:val="00007BD8"/>
    <w:rsid w:val="00007FF5"/>
    <w:rsid w:val="000100EE"/>
    <w:rsid w:val="000110B8"/>
    <w:rsid w:val="00011A43"/>
    <w:rsid w:val="00011BF1"/>
    <w:rsid w:val="00015392"/>
    <w:rsid w:val="0001597E"/>
    <w:rsid w:val="00015E08"/>
    <w:rsid w:val="000208E5"/>
    <w:rsid w:val="00020962"/>
    <w:rsid w:val="00022D79"/>
    <w:rsid w:val="000233F5"/>
    <w:rsid w:val="000256D8"/>
    <w:rsid w:val="00026144"/>
    <w:rsid w:val="00030393"/>
    <w:rsid w:val="00031C6F"/>
    <w:rsid w:val="00031D74"/>
    <w:rsid w:val="00031F3B"/>
    <w:rsid w:val="00032773"/>
    <w:rsid w:val="00034F85"/>
    <w:rsid w:val="00035001"/>
    <w:rsid w:val="00035849"/>
    <w:rsid w:val="0003584B"/>
    <w:rsid w:val="00035D7C"/>
    <w:rsid w:val="00035E4F"/>
    <w:rsid w:val="00036D40"/>
    <w:rsid w:val="00041E2F"/>
    <w:rsid w:val="0004530E"/>
    <w:rsid w:val="00046B11"/>
    <w:rsid w:val="00046B72"/>
    <w:rsid w:val="00046FA2"/>
    <w:rsid w:val="00050E3E"/>
    <w:rsid w:val="0005115A"/>
    <w:rsid w:val="0005149E"/>
    <w:rsid w:val="00051E81"/>
    <w:rsid w:val="00053B93"/>
    <w:rsid w:val="000550CF"/>
    <w:rsid w:val="00055155"/>
    <w:rsid w:val="00055486"/>
    <w:rsid w:val="00057AA9"/>
    <w:rsid w:val="00057E76"/>
    <w:rsid w:val="0006023F"/>
    <w:rsid w:val="00061016"/>
    <w:rsid w:val="00061483"/>
    <w:rsid w:val="00061C47"/>
    <w:rsid w:val="00063922"/>
    <w:rsid w:val="00064AAA"/>
    <w:rsid w:val="00064CEC"/>
    <w:rsid w:val="00065200"/>
    <w:rsid w:val="00066096"/>
    <w:rsid w:val="0006649A"/>
    <w:rsid w:val="000669EF"/>
    <w:rsid w:val="00066D74"/>
    <w:rsid w:val="000726CB"/>
    <w:rsid w:val="000733AB"/>
    <w:rsid w:val="0007350F"/>
    <w:rsid w:val="0007397D"/>
    <w:rsid w:val="0007448C"/>
    <w:rsid w:val="00075A81"/>
    <w:rsid w:val="00075BBB"/>
    <w:rsid w:val="000765EF"/>
    <w:rsid w:val="000766A6"/>
    <w:rsid w:val="00076B74"/>
    <w:rsid w:val="00076C23"/>
    <w:rsid w:val="00077811"/>
    <w:rsid w:val="00082EA6"/>
    <w:rsid w:val="00083132"/>
    <w:rsid w:val="00084EDC"/>
    <w:rsid w:val="00090342"/>
    <w:rsid w:val="00090D09"/>
    <w:rsid w:val="00091DBB"/>
    <w:rsid w:val="00091E80"/>
    <w:rsid w:val="0009208C"/>
    <w:rsid w:val="00095D40"/>
    <w:rsid w:val="00095E39"/>
    <w:rsid w:val="000975A0"/>
    <w:rsid w:val="000A043E"/>
    <w:rsid w:val="000A06D5"/>
    <w:rsid w:val="000A075F"/>
    <w:rsid w:val="000A3AEE"/>
    <w:rsid w:val="000A58B5"/>
    <w:rsid w:val="000A5D80"/>
    <w:rsid w:val="000A72E1"/>
    <w:rsid w:val="000A7374"/>
    <w:rsid w:val="000B1360"/>
    <w:rsid w:val="000B13C1"/>
    <w:rsid w:val="000B21B7"/>
    <w:rsid w:val="000B40F4"/>
    <w:rsid w:val="000B531A"/>
    <w:rsid w:val="000B5FB0"/>
    <w:rsid w:val="000C02DD"/>
    <w:rsid w:val="000C0DF7"/>
    <w:rsid w:val="000C4A79"/>
    <w:rsid w:val="000C58E8"/>
    <w:rsid w:val="000C5E1A"/>
    <w:rsid w:val="000C606D"/>
    <w:rsid w:val="000C60FC"/>
    <w:rsid w:val="000C727E"/>
    <w:rsid w:val="000D0403"/>
    <w:rsid w:val="000D0D7E"/>
    <w:rsid w:val="000D0F4C"/>
    <w:rsid w:val="000D26FB"/>
    <w:rsid w:val="000D2C87"/>
    <w:rsid w:val="000D3EC9"/>
    <w:rsid w:val="000D4D7C"/>
    <w:rsid w:val="000D688D"/>
    <w:rsid w:val="000D7153"/>
    <w:rsid w:val="000D72BC"/>
    <w:rsid w:val="000E05B8"/>
    <w:rsid w:val="000E1098"/>
    <w:rsid w:val="000E1821"/>
    <w:rsid w:val="000E24D5"/>
    <w:rsid w:val="000E2C4E"/>
    <w:rsid w:val="000E41F2"/>
    <w:rsid w:val="000E6668"/>
    <w:rsid w:val="000E6F99"/>
    <w:rsid w:val="000F1138"/>
    <w:rsid w:val="000F2902"/>
    <w:rsid w:val="000F39D9"/>
    <w:rsid w:val="000F5F43"/>
    <w:rsid w:val="000F711E"/>
    <w:rsid w:val="001011D2"/>
    <w:rsid w:val="00101F7A"/>
    <w:rsid w:val="00105507"/>
    <w:rsid w:val="0010585B"/>
    <w:rsid w:val="001060E9"/>
    <w:rsid w:val="00106A30"/>
    <w:rsid w:val="00106CA1"/>
    <w:rsid w:val="00114583"/>
    <w:rsid w:val="00114E2F"/>
    <w:rsid w:val="00117487"/>
    <w:rsid w:val="00121243"/>
    <w:rsid w:val="001212CD"/>
    <w:rsid w:val="001233F4"/>
    <w:rsid w:val="00124274"/>
    <w:rsid w:val="00124CBC"/>
    <w:rsid w:val="00125758"/>
    <w:rsid w:val="00125761"/>
    <w:rsid w:val="00126B74"/>
    <w:rsid w:val="001306E0"/>
    <w:rsid w:val="00131DEF"/>
    <w:rsid w:val="001320FA"/>
    <w:rsid w:val="00132855"/>
    <w:rsid w:val="0013538A"/>
    <w:rsid w:val="001353BE"/>
    <w:rsid w:val="00135489"/>
    <w:rsid w:val="00137B3D"/>
    <w:rsid w:val="00141656"/>
    <w:rsid w:val="00141A69"/>
    <w:rsid w:val="00146462"/>
    <w:rsid w:val="00147345"/>
    <w:rsid w:val="00147C7B"/>
    <w:rsid w:val="00150A58"/>
    <w:rsid w:val="0015130E"/>
    <w:rsid w:val="00152C68"/>
    <w:rsid w:val="00154D0A"/>
    <w:rsid w:val="00154E90"/>
    <w:rsid w:val="00156B84"/>
    <w:rsid w:val="0015702C"/>
    <w:rsid w:val="00157CFD"/>
    <w:rsid w:val="00162857"/>
    <w:rsid w:val="00163350"/>
    <w:rsid w:val="00163C7F"/>
    <w:rsid w:val="00164AA5"/>
    <w:rsid w:val="001658BB"/>
    <w:rsid w:val="00165E10"/>
    <w:rsid w:val="00167ED5"/>
    <w:rsid w:val="001702D1"/>
    <w:rsid w:val="00170F7F"/>
    <w:rsid w:val="001711C6"/>
    <w:rsid w:val="00171602"/>
    <w:rsid w:val="00171BE1"/>
    <w:rsid w:val="00172018"/>
    <w:rsid w:val="00174C48"/>
    <w:rsid w:val="0017680B"/>
    <w:rsid w:val="001775AA"/>
    <w:rsid w:val="00177920"/>
    <w:rsid w:val="00177EFB"/>
    <w:rsid w:val="0018167E"/>
    <w:rsid w:val="00181F84"/>
    <w:rsid w:val="0018498E"/>
    <w:rsid w:val="00186BE7"/>
    <w:rsid w:val="00190522"/>
    <w:rsid w:val="0019159A"/>
    <w:rsid w:val="00193D58"/>
    <w:rsid w:val="00193FE3"/>
    <w:rsid w:val="0019480F"/>
    <w:rsid w:val="0019488A"/>
    <w:rsid w:val="00195466"/>
    <w:rsid w:val="00195DE0"/>
    <w:rsid w:val="001964B7"/>
    <w:rsid w:val="001971BE"/>
    <w:rsid w:val="00197450"/>
    <w:rsid w:val="0019796A"/>
    <w:rsid w:val="001A086B"/>
    <w:rsid w:val="001A0F99"/>
    <w:rsid w:val="001A17FE"/>
    <w:rsid w:val="001A37A1"/>
    <w:rsid w:val="001A4D2D"/>
    <w:rsid w:val="001A4F18"/>
    <w:rsid w:val="001A4FC4"/>
    <w:rsid w:val="001A7323"/>
    <w:rsid w:val="001B028F"/>
    <w:rsid w:val="001B1957"/>
    <w:rsid w:val="001B1DF1"/>
    <w:rsid w:val="001B2F6B"/>
    <w:rsid w:val="001B3217"/>
    <w:rsid w:val="001B51DA"/>
    <w:rsid w:val="001B7459"/>
    <w:rsid w:val="001B78D3"/>
    <w:rsid w:val="001C0358"/>
    <w:rsid w:val="001C3CF6"/>
    <w:rsid w:val="001C4852"/>
    <w:rsid w:val="001C59BC"/>
    <w:rsid w:val="001C5D9B"/>
    <w:rsid w:val="001D1148"/>
    <w:rsid w:val="001D1321"/>
    <w:rsid w:val="001D214C"/>
    <w:rsid w:val="001D2223"/>
    <w:rsid w:val="001D2790"/>
    <w:rsid w:val="001D4013"/>
    <w:rsid w:val="001D442D"/>
    <w:rsid w:val="001D4875"/>
    <w:rsid w:val="001D5963"/>
    <w:rsid w:val="001D5D42"/>
    <w:rsid w:val="001D6E73"/>
    <w:rsid w:val="001D71DC"/>
    <w:rsid w:val="001D7BE7"/>
    <w:rsid w:val="001E0FAD"/>
    <w:rsid w:val="001E172F"/>
    <w:rsid w:val="001E2383"/>
    <w:rsid w:val="001E2633"/>
    <w:rsid w:val="001E2CE9"/>
    <w:rsid w:val="001E3E1F"/>
    <w:rsid w:val="001F0476"/>
    <w:rsid w:val="001F0724"/>
    <w:rsid w:val="001F0B1A"/>
    <w:rsid w:val="001F0DDB"/>
    <w:rsid w:val="001F0EE4"/>
    <w:rsid w:val="001F1061"/>
    <w:rsid w:val="001F1134"/>
    <w:rsid w:val="001F2730"/>
    <w:rsid w:val="001F435D"/>
    <w:rsid w:val="001F4E48"/>
    <w:rsid w:val="001F58C2"/>
    <w:rsid w:val="001F5DCC"/>
    <w:rsid w:val="001F796E"/>
    <w:rsid w:val="00201978"/>
    <w:rsid w:val="00201AA3"/>
    <w:rsid w:val="00201ECE"/>
    <w:rsid w:val="00202ACA"/>
    <w:rsid w:val="002034E3"/>
    <w:rsid w:val="00203BF5"/>
    <w:rsid w:val="002049E4"/>
    <w:rsid w:val="002068B9"/>
    <w:rsid w:val="00210EEB"/>
    <w:rsid w:val="0021100C"/>
    <w:rsid w:val="00212507"/>
    <w:rsid w:val="002136DB"/>
    <w:rsid w:val="002146A9"/>
    <w:rsid w:val="00214E9A"/>
    <w:rsid w:val="00215478"/>
    <w:rsid w:val="00215A52"/>
    <w:rsid w:val="00216F96"/>
    <w:rsid w:val="002170D3"/>
    <w:rsid w:val="00217738"/>
    <w:rsid w:val="00217C12"/>
    <w:rsid w:val="00220A43"/>
    <w:rsid w:val="00221215"/>
    <w:rsid w:val="00221395"/>
    <w:rsid w:val="00221BD1"/>
    <w:rsid w:val="00221EC5"/>
    <w:rsid w:val="00223356"/>
    <w:rsid w:val="0022466E"/>
    <w:rsid w:val="00224791"/>
    <w:rsid w:val="002271A2"/>
    <w:rsid w:val="00227685"/>
    <w:rsid w:val="002276ED"/>
    <w:rsid w:val="00227FF6"/>
    <w:rsid w:val="00231229"/>
    <w:rsid w:val="00231D2E"/>
    <w:rsid w:val="00233373"/>
    <w:rsid w:val="00233F37"/>
    <w:rsid w:val="002411B9"/>
    <w:rsid w:val="00241A63"/>
    <w:rsid w:val="002435D2"/>
    <w:rsid w:val="002475BD"/>
    <w:rsid w:val="00252E88"/>
    <w:rsid w:val="00253A48"/>
    <w:rsid w:val="002549C7"/>
    <w:rsid w:val="00255FC6"/>
    <w:rsid w:val="00256458"/>
    <w:rsid w:val="0025658E"/>
    <w:rsid w:val="00257395"/>
    <w:rsid w:val="002578D3"/>
    <w:rsid w:val="00257BD2"/>
    <w:rsid w:val="00261E4C"/>
    <w:rsid w:val="00262D83"/>
    <w:rsid w:val="002654AE"/>
    <w:rsid w:val="00266497"/>
    <w:rsid w:val="00266EC4"/>
    <w:rsid w:val="002671B1"/>
    <w:rsid w:val="00267B9C"/>
    <w:rsid w:val="00270013"/>
    <w:rsid w:val="00270190"/>
    <w:rsid w:val="00272B0C"/>
    <w:rsid w:val="00273A3E"/>
    <w:rsid w:val="00275724"/>
    <w:rsid w:val="00276199"/>
    <w:rsid w:val="00276267"/>
    <w:rsid w:val="00276F78"/>
    <w:rsid w:val="0027777A"/>
    <w:rsid w:val="00277B06"/>
    <w:rsid w:val="00280743"/>
    <w:rsid w:val="00280771"/>
    <w:rsid w:val="00281024"/>
    <w:rsid w:val="002839D2"/>
    <w:rsid w:val="00283A9D"/>
    <w:rsid w:val="002855CD"/>
    <w:rsid w:val="00285DCB"/>
    <w:rsid w:val="0029084A"/>
    <w:rsid w:val="002914B2"/>
    <w:rsid w:val="00291721"/>
    <w:rsid w:val="00293B66"/>
    <w:rsid w:val="00294720"/>
    <w:rsid w:val="002971AA"/>
    <w:rsid w:val="002973C9"/>
    <w:rsid w:val="002A1553"/>
    <w:rsid w:val="002A2B87"/>
    <w:rsid w:val="002A4276"/>
    <w:rsid w:val="002A4E15"/>
    <w:rsid w:val="002A5310"/>
    <w:rsid w:val="002A5367"/>
    <w:rsid w:val="002A568E"/>
    <w:rsid w:val="002B07E7"/>
    <w:rsid w:val="002B08B0"/>
    <w:rsid w:val="002B2142"/>
    <w:rsid w:val="002B2593"/>
    <w:rsid w:val="002B4E85"/>
    <w:rsid w:val="002B7C7C"/>
    <w:rsid w:val="002C0116"/>
    <w:rsid w:val="002C0793"/>
    <w:rsid w:val="002C07BF"/>
    <w:rsid w:val="002C1207"/>
    <w:rsid w:val="002C19B6"/>
    <w:rsid w:val="002C1CA7"/>
    <w:rsid w:val="002C2C81"/>
    <w:rsid w:val="002C2CA2"/>
    <w:rsid w:val="002C3471"/>
    <w:rsid w:val="002C5CB0"/>
    <w:rsid w:val="002C67B6"/>
    <w:rsid w:val="002D1144"/>
    <w:rsid w:val="002D149D"/>
    <w:rsid w:val="002D2E6B"/>
    <w:rsid w:val="002D3AD4"/>
    <w:rsid w:val="002D40EA"/>
    <w:rsid w:val="002D6BC9"/>
    <w:rsid w:val="002D6D05"/>
    <w:rsid w:val="002D71B6"/>
    <w:rsid w:val="002D72CE"/>
    <w:rsid w:val="002E36D4"/>
    <w:rsid w:val="002E525F"/>
    <w:rsid w:val="002E5B80"/>
    <w:rsid w:val="002E5E7D"/>
    <w:rsid w:val="002E662B"/>
    <w:rsid w:val="002E6E86"/>
    <w:rsid w:val="002F15F7"/>
    <w:rsid w:val="002F32AC"/>
    <w:rsid w:val="002F35D7"/>
    <w:rsid w:val="002F3A27"/>
    <w:rsid w:val="002F3E8A"/>
    <w:rsid w:val="002F4F4E"/>
    <w:rsid w:val="002F5175"/>
    <w:rsid w:val="002F59A8"/>
    <w:rsid w:val="002F6D26"/>
    <w:rsid w:val="002F703D"/>
    <w:rsid w:val="003000D6"/>
    <w:rsid w:val="003009DB"/>
    <w:rsid w:val="00301266"/>
    <w:rsid w:val="0030196B"/>
    <w:rsid w:val="00301A46"/>
    <w:rsid w:val="00301B2E"/>
    <w:rsid w:val="00301F6D"/>
    <w:rsid w:val="0030245D"/>
    <w:rsid w:val="00303675"/>
    <w:rsid w:val="00303A0D"/>
    <w:rsid w:val="00305DDB"/>
    <w:rsid w:val="00306B2E"/>
    <w:rsid w:val="0031060F"/>
    <w:rsid w:val="00311AD8"/>
    <w:rsid w:val="00315AA0"/>
    <w:rsid w:val="00316E72"/>
    <w:rsid w:val="003173D2"/>
    <w:rsid w:val="003179AA"/>
    <w:rsid w:val="003213C6"/>
    <w:rsid w:val="003230F5"/>
    <w:rsid w:val="003231BA"/>
    <w:rsid w:val="00324F37"/>
    <w:rsid w:val="0032532E"/>
    <w:rsid w:val="00325A8E"/>
    <w:rsid w:val="00326269"/>
    <w:rsid w:val="003278A0"/>
    <w:rsid w:val="0033080A"/>
    <w:rsid w:val="0033099A"/>
    <w:rsid w:val="003331FA"/>
    <w:rsid w:val="003342BC"/>
    <w:rsid w:val="00336336"/>
    <w:rsid w:val="00340521"/>
    <w:rsid w:val="003421B7"/>
    <w:rsid w:val="003423B1"/>
    <w:rsid w:val="00342842"/>
    <w:rsid w:val="00342FE4"/>
    <w:rsid w:val="00344770"/>
    <w:rsid w:val="00344A85"/>
    <w:rsid w:val="003472D9"/>
    <w:rsid w:val="00347F67"/>
    <w:rsid w:val="0035116F"/>
    <w:rsid w:val="003518DA"/>
    <w:rsid w:val="00352822"/>
    <w:rsid w:val="00352B19"/>
    <w:rsid w:val="00353AAA"/>
    <w:rsid w:val="0035408C"/>
    <w:rsid w:val="0035622E"/>
    <w:rsid w:val="00360AC2"/>
    <w:rsid w:val="00361C57"/>
    <w:rsid w:val="0036592C"/>
    <w:rsid w:val="00366CC2"/>
    <w:rsid w:val="00370A51"/>
    <w:rsid w:val="00371C72"/>
    <w:rsid w:val="00372477"/>
    <w:rsid w:val="00372632"/>
    <w:rsid w:val="00373220"/>
    <w:rsid w:val="0037381B"/>
    <w:rsid w:val="0037431F"/>
    <w:rsid w:val="003751F0"/>
    <w:rsid w:val="003763AC"/>
    <w:rsid w:val="00377DD0"/>
    <w:rsid w:val="00380632"/>
    <w:rsid w:val="00381458"/>
    <w:rsid w:val="00382270"/>
    <w:rsid w:val="00383812"/>
    <w:rsid w:val="00383FEC"/>
    <w:rsid w:val="003844BE"/>
    <w:rsid w:val="00386DAE"/>
    <w:rsid w:val="00391ADF"/>
    <w:rsid w:val="003933F7"/>
    <w:rsid w:val="00394303"/>
    <w:rsid w:val="00394BA1"/>
    <w:rsid w:val="00394D55"/>
    <w:rsid w:val="00394E75"/>
    <w:rsid w:val="003962E2"/>
    <w:rsid w:val="0039692B"/>
    <w:rsid w:val="00397370"/>
    <w:rsid w:val="003976BA"/>
    <w:rsid w:val="00397AAD"/>
    <w:rsid w:val="003A0989"/>
    <w:rsid w:val="003A0D75"/>
    <w:rsid w:val="003A12CE"/>
    <w:rsid w:val="003A1E94"/>
    <w:rsid w:val="003A2470"/>
    <w:rsid w:val="003A2ADF"/>
    <w:rsid w:val="003A35A1"/>
    <w:rsid w:val="003A5208"/>
    <w:rsid w:val="003A5F37"/>
    <w:rsid w:val="003A7B5E"/>
    <w:rsid w:val="003B0AEA"/>
    <w:rsid w:val="003B0CEE"/>
    <w:rsid w:val="003B1E86"/>
    <w:rsid w:val="003B3FF3"/>
    <w:rsid w:val="003B4DA4"/>
    <w:rsid w:val="003B6190"/>
    <w:rsid w:val="003B6A61"/>
    <w:rsid w:val="003C0FBE"/>
    <w:rsid w:val="003C1AAE"/>
    <w:rsid w:val="003C4496"/>
    <w:rsid w:val="003C5CA8"/>
    <w:rsid w:val="003C5D75"/>
    <w:rsid w:val="003C5F0D"/>
    <w:rsid w:val="003C7673"/>
    <w:rsid w:val="003C7CE2"/>
    <w:rsid w:val="003D08FF"/>
    <w:rsid w:val="003D092C"/>
    <w:rsid w:val="003D1407"/>
    <w:rsid w:val="003D3420"/>
    <w:rsid w:val="003D6DE6"/>
    <w:rsid w:val="003D745B"/>
    <w:rsid w:val="003E0C74"/>
    <w:rsid w:val="003E1C5D"/>
    <w:rsid w:val="003E1F2D"/>
    <w:rsid w:val="003E3287"/>
    <w:rsid w:val="003E3FEC"/>
    <w:rsid w:val="003E5230"/>
    <w:rsid w:val="003E59A1"/>
    <w:rsid w:val="003E7152"/>
    <w:rsid w:val="003F00A7"/>
    <w:rsid w:val="003F0D63"/>
    <w:rsid w:val="003F19E9"/>
    <w:rsid w:val="003F1ED3"/>
    <w:rsid w:val="003F2489"/>
    <w:rsid w:val="003F3257"/>
    <w:rsid w:val="003F387A"/>
    <w:rsid w:val="003F448A"/>
    <w:rsid w:val="003F5A66"/>
    <w:rsid w:val="003F5BED"/>
    <w:rsid w:val="003F61DD"/>
    <w:rsid w:val="003F6965"/>
    <w:rsid w:val="003F6B94"/>
    <w:rsid w:val="003F71A5"/>
    <w:rsid w:val="003F75F9"/>
    <w:rsid w:val="003F78C8"/>
    <w:rsid w:val="003F7966"/>
    <w:rsid w:val="003F7CAD"/>
    <w:rsid w:val="003F7D51"/>
    <w:rsid w:val="00400CAC"/>
    <w:rsid w:val="0040144B"/>
    <w:rsid w:val="00401D56"/>
    <w:rsid w:val="00405E5A"/>
    <w:rsid w:val="00407C61"/>
    <w:rsid w:val="004108D1"/>
    <w:rsid w:val="004114D7"/>
    <w:rsid w:val="00411F91"/>
    <w:rsid w:val="00412014"/>
    <w:rsid w:val="00412A8E"/>
    <w:rsid w:val="00415D5B"/>
    <w:rsid w:val="00416204"/>
    <w:rsid w:val="0041636D"/>
    <w:rsid w:val="00416439"/>
    <w:rsid w:val="0041687C"/>
    <w:rsid w:val="00416A40"/>
    <w:rsid w:val="004200E7"/>
    <w:rsid w:val="0042042B"/>
    <w:rsid w:val="00420D4D"/>
    <w:rsid w:val="00422D0C"/>
    <w:rsid w:val="00423AA8"/>
    <w:rsid w:val="0042440B"/>
    <w:rsid w:val="00424D81"/>
    <w:rsid w:val="004250FD"/>
    <w:rsid w:val="004253E5"/>
    <w:rsid w:val="00425E03"/>
    <w:rsid w:val="00426011"/>
    <w:rsid w:val="0042751B"/>
    <w:rsid w:val="0042797D"/>
    <w:rsid w:val="00427B9D"/>
    <w:rsid w:val="00427F6F"/>
    <w:rsid w:val="00432EBC"/>
    <w:rsid w:val="00432F14"/>
    <w:rsid w:val="004342AE"/>
    <w:rsid w:val="004353B7"/>
    <w:rsid w:val="00435E85"/>
    <w:rsid w:val="00440B07"/>
    <w:rsid w:val="00440C53"/>
    <w:rsid w:val="00440F40"/>
    <w:rsid w:val="0044342F"/>
    <w:rsid w:val="004448CB"/>
    <w:rsid w:val="00444FB1"/>
    <w:rsid w:val="0044658A"/>
    <w:rsid w:val="0044758C"/>
    <w:rsid w:val="00451A08"/>
    <w:rsid w:val="004530AF"/>
    <w:rsid w:val="004535DF"/>
    <w:rsid w:val="00454A71"/>
    <w:rsid w:val="00454A74"/>
    <w:rsid w:val="004551D0"/>
    <w:rsid w:val="004551F3"/>
    <w:rsid w:val="00456757"/>
    <w:rsid w:val="00457B25"/>
    <w:rsid w:val="00457CDE"/>
    <w:rsid w:val="00460C39"/>
    <w:rsid w:val="00460C66"/>
    <w:rsid w:val="00460D22"/>
    <w:rsid w:val="0046228D"/>
    <w:rsid w:val="0046461C"/>
    <w:rsid w:val="00465189"/>
    <w:rsid w:val="0046569C"/>
    <w:rsid w:val="00466067"/>
    <w:rsid w:val="00466D69"/>
    <w:rsid w:val="00473324"/>
    <w:rsid w:val="00473860"/>
    <w:rsid w:val="004757BA"/>
    <w:rsid w:val="00475B0E"/>
    <w:rsid w:val="00476E4E"/>
    <w:rsid w:val="004773E5"/>
    <w:rsid w:val="004806EC"/>
    <w:rsid w:val="00481A67"/>
    <w:rsid w:val="0048518B"/>
    <w:rsid w:val="004861E6"/>
    <w:rsid w:val="00487FA9"/>
    <w:rsid w:val="00490E9F"/>
    <w:rsid w:val="004913B1"/>
    <w:rsid w:val="00492FC8"/>
    <w:rsid w:val="00493CE9"/>
    <w:rsid w:val="00495186"/>
    <w:rsid w:val="00496485"/>
    <w:rsid w:val="0049699A"/>
    <w:rsid w:val="00497672"/>
    <w:rsid w:val="004976BB"/>
    <w:rsid w:val="00497733"/>
    <w:rsid w:val="00497FBF"/>
    <w:rsid w:val="004A1CA7"/>
    <w:rsid w:val="004A1EB0"/>
    <w:rsid w:val="004A22B2"/>
    <w:rsid w:val="004A3FCC"/>
    <w:rsid w:val="004A41BB"/>
    <w:rsid w:val="004A4C91"/>
    <w:rsid w:val="004A6181"/>
    <w:rsid w:val="004A6B08"/>
    <w:rsid w:val="004A6C5B"/>
    <w:rsid w:val="004A6F8F"/>
    <w:rsid w:val="004A779E"/>
    <w:rsid w:val="004B0892"/>
    <w:rsid w:val="004B1DDD"/>
    <w:rsid w:val="004B3F72"/>
    <w:rsid w:val="004B4911"/>
    <w:rsid w:val="004B5730"/>
    <w:rsid w:val="004B59FE"/>
    <w:rsid w:val="004B5C9D"/>
    <w:rsid w:val="004B7816"/>
    <w:rsid w:val="004C0071"/>
    <w:rsid w:val="004C021E"/>
    <w:rsid w:val="004C1961"/>
    <w:rsid w:val="004C23F6"/>
    <w:rsid w:val="004C296D"/>
    <w:rsid w:val="004C2CB9"/>
    <w:rsid w:val="004C2E95"/>
    <w:rsid w:val="004C4746"/>
    <w:rsid w:val="004C4A10"/>
    <w:rsid w:val="004C4B37"/>
    <w:rsid w:val="004C4CCE"/>
    <w:rsid w:val="004C4D8F"/>
    <w:rsid w:val="004C58DA"/>
    <w:rsid w:val="004C733F"/>
    <w:rsid w:val="004D031B"/>
    <w:rsid w:val="004D1B2E"/>
    <w:rsid w:val="004D1DB0"/>
    <w:rsid w:val="004D225F"/>
    <w:rsid w:val="004D5A43"/>
    <w:rsid w:val="004D6C92"/>
    <w:rsid w:val="004D7AA8"/>
    <w:rsid w:val="004E09BC"/>
    <w:rsid w:val="004E2C24"/>
    <w:rsid w:val="004E316A"/>
    <w:rsid w:val="004E3B35"/>
    <w:rsid w:val="004E3D2D"/>
    <w:rsid w:val="004E44BD"/>
    <w:rsid w:val="004E4D52"/>
    <w:rsid w:val="004E7B20"/>
    <w:rsid w:val="004F1698"/>
    <w:rsid w:val="004F2923"/>
    <w:rsid w:val="004F2B6B"/>
    <w:rsid w:val="004F3019"/>
    <w:rsid w:val="004F46AF"/>
    <w:rsid w:val="004F5748"/>
    <w:rsid w:val="004F57A0"/>
    <w:rsid w:val="004F5CF9"/>
    <w:rsid w:val="004F5E67"/>
    <w:rsid w:val="004F61B6"/>
    <w:rsid w:val="004F7ACE"/>
    <w:rsid w:val="004F7E45"/>
    <w:rsid w:val="00500C8F"/>
    <w:rsid w:val="00502A1F"/>
    <w:rsid w:val="00505322"/>
    <w:rsid w:val="00506463"/>
    <w:rsid w:val="00506AF1"/>
    <w:rsid w:val="005072C0"/>
    <w:rsid w:val="00507DBD"/>
    <w:rsid w:val="00510084"/>
    <w:rsid w:val="0051094B"/>
    <w:rsid w:val="00512926"/>
    <w:rsid w:val="0051358C"/>
    <w:rsid w:val="00514086"/>
    <w:rsid w:val="00514480"/>
    <w:rsid w:val="005153ED"/>
    <w:rsid w:val="00516115"/>
    <w:rsid w:val="005166CC"/>
    <w:rsid w:val="005211CF"/>
    <w:rsid w:val="0052120C"/>
    <w:rsid w:val="00522000"/>
    <w:rsid w:val="00523B1B"/>
    <w:rsid w:val="005251E0"/>
    <w:rsid w:val="00525241"/>
    <w:rsid w:val="005256AC"/>
    <w:rsid w:val="0052743B"/>
    <w:rsid w:val="005301ED"/>
    <w:rsid w:val="00530838"/>
    <w:rsid w:val="005308F2"/>
    <w:rsid w:val="00532A3D"/>
    <w:rsid w:val="0053363C"/>
    <w:rsid w:val="00533E16"/>
    <w:rsid w:val="00534BE8"/>
    <w:rsid w:val="00535B5A"/>
    <w:rsid w:val="00537113"/>
    <w:rsid w:val="00537310"/>
    <w:rsid w:val="00537BF2"/>
    <w:rsid w:val="00540A3C"/>
    <w:rsid w:val="00544633"/>
    <w:rsid w:val="00545243"/>
    <w:rsid w:val="0055041C"/>
    <w:rsid w:val="005507CC"/>
    <w:rsid w:val="00550801"/>
    <w:rsid w:val="00550C33"/>
    <w:rsid w:val="00551BA4"/>
    <w:rsid w:val="00553373"/>
    <w:rsid w:val="005535B7"/>
    <w:rsid w:val="00553746"/>
    <w:rsid w:val="005546AF"/>
    <w:rsid w:val="00556FCE"/>
    <w:rsid w:val="0055724D"/>
    <w:rsid w:val="005575B1"/>
    <w:rsid w:val="00557615"/>
    <w:rsid w:val="00557E5F"/>
    <w:rsid w:val="005621A8"/>
    <w:rsid w:val="0056266F"/>
    <w:rsid w:val="00562AC5"/>
    <w:rsid w:val="00563750"/>
    <w:rsid w:val="00563ABC"/>
    <w:rsid w:val="00564DB8"/>
    <w:rsid w:val="00566046"/>
    <w:rsid w:val="005676AD"/>
    <w:rsid w:val="00570473"/>
    <w:rsid w:val="005749D1"/>
    <w:rsid w:val="005760CE"/>
    <w:rsid w:val="00581502"/>
    <w:rsid w:val="0058252D"/>
    <w:rsid w:val="00582614"/>
    <w:rsid w:val="00582F4E"/>
    <w:rsid w:val="0058459B"/>
    <w:rsid w:val="00584C29"/>
    <w:rsid w:val="00586576"/>
    <w:rsid w:val="00587AE1"/>
    <w:rsid w:val="0059020C"/>
    <w:rsid w:val="00590968"/>
    <w:rsid w:val="00591659"/>
    <w:rsid w:val="00591CD8"/>
    <w:rsid w:val="00593F78"/>
    <w:rsid w:val="00593FC2"/>
    <w:rsid w:val="00595586"/>
    <w:rsid w:val="00595E80"/>
    <w:rsid w:val="005960AD"/>
    <w:rsid w:val="00597164"/>
    <w:rsid w:val="00597250"/>
    <w:rsid w:val="005A08A8"/>
    <w:rsid w:val="005A0FEC"/>
    <w:rsid w:val="005A164B"/>
    <w:rsid w:val="005A1D69"/>
    <w:rsid w:val="005A298E"/>
    <w:rsid w:val="005A328F"/>
    <w:rsid w:val="005A36CF"/>
    <w:rsid w:val="005A550A"/>
    <w:rsid w:val="005A6376"/>
    <w:rsid w:val="005A6C45"/>
    <w:rsid w:val="005A7A30"/>
    <w:rsid w:val="005A7D0B"/>
    <w:rsid w:val="005A7F25"/>
    <w:rsid w:val="005B02B7"/>
    <w:rsid w:val="005B07AD"/>
    <w:rsid w:val="005B2738"/>
    <w:rsid w:val="005B45E1"/>
    <w:rsid w:val="005B5075"/>
    <w:rsid w:val="005B6027"/>
    <w:rsid w:val="005B70B5"/>
    <w:rsid w:val="005C1889"/>
    <w:rsid w:val="005C18DA"/>
    <w:rsid w:val="005C1D55"/>
    <w:rsid w:val="005C2198"/>
    <w:rsid w:val="005C2A3A"/>
    <w:rsid w:val="005C2B87"/>
    <w:rsid w:val="005C3E5F"/>
    <w:rsid w:val="005C40CB"/>
    <w:rsid w:val="005C41AC"/>
    <w:rsid w:val="005C4D47"/>
    <w:rsid w:val="005C501F"/>
    <w:rsid w:val="005C5903"/>
    <w:rsid w:val="005C5A3F"/>
    <w:rsid w:val="005C6AB5"/>
    <w:rsid w:val="005C6DA5"/>
    <w:rsid w:val="005C7731"/>
    <w:rsid w:val="005D1804"/>
    <w:rsid w:val="005D6B51"/>
    <w:rsid w:val="005D6E13"/>
    <w:rsid w:val="005E0040"/>
    <w:rsid w:val="005E1A27"/>
    <w:rsid w:val="005E1C81"/>
    <w:rsid w:val="005E1D4A"/>
    <w:rsid w:val="005E2E2C"/>
    <w:rsid w:val="005E3601"/>
    <w:rsid w:val="005E38C5"/>
    <w:rsid w:val="005E3FD3"/>
    <w:rsid w:val="005E4195"/>
    <w:rsid w:val="005E4E7E"/>
    <w:rsid w:val="005E57C3"/>
    <w:rsid w:val="005E637C"/>
    <w:rsid w:val="005E75DF"/>
    <w:rsid w:val="005E7BD8"/>
    <w:rsid w:val="005F0B0C"/>
    <w:rsid w:val="005F1681"/>
    <w:rsid w:val="005F1E48"/>
    <w:rsid w:val="005F25C2"/>
    <w:rsid w:val="005F286C"/>
    <w:rsid w:val="005F2A6F"/>
    <w:rsid w:val="005F2C19"/>
    <w:rsid w:val="005F6602"/>
    <w:rsid w:val="005F73CA"/>
    <w:rsid w:val="005F7530"/>
    <w:rsid w:val="005F7C07"/>
    <w:rsid w:val="00600785"/>
    <w:rsid w:val="00601115"/>
    <w:rsid w:val="00602298"/>
    <w:rsid w:val="00602480"/>
    <w:rsid w:val="00603917"/>
    <w:rsid w:val="00603B69"/>
    <w:rsid w:val="00606AC9"/>
    <w:rsid w:val="00607526"/>
    <w:rsid w:val="0060764A"/>
    <w:rsid w:val="00611ACA"/>
    <w:rsid w:val="00611BCD"/>
    <w:rsid w:val="00611E54"/>
    <w:rsid w:val="00612E5F"/>
    <w:rsid w:val="006138FD"/>
    <w:rsid w:val="00615698"/>
    <w:rsid w:val="00616138"/>
    <w:rsid w:val="00616D12"/>
    <w:rsid w:val="00616D89"/>
    <w:rsid w:val="00617956"/>
    <w:rsid w:val="00617E17"/>
    <w:rsid w:val="006210C2"/>
    <w:rsid w:val="00621557"/>
    <w:rsid w:val="00622443"/>
    <w:rsid w:val="00622E0E"/>
    <w:rsid w:val="00625BB4"/>
    <w:rsid w:val="00626728"/>
    <w:rsid w:val="0062710D"/>
    <w:rsid w:val="00627F6E"/>
    <w:rsid w:val="00630109"/>
    <w:rsid w:val="006315FF"/>
    <w:rsid w:val="00634E04"/>
    <w:rsid w:val="0063541B"/>
    <w:rsid w:val="00635DA8"/>
    <w:rsid w:val="0063656D"/>
    <w:rsid w:val="00636B70"/>
    <w:rsid w:val="00642A9A"/>
    <w:rsid w:val="006430E4"/>
    <w:rsid w:val="00643927"/>
    <w:rsid w:val="00643A20"/>
    <w:rsid w:val="006450F4"/>
    <w:rsid w:val="00645322"/>
    <w:rsid w:val="00646303"/>
    <w:rsid w:val="00650AE9"/>
    <w:rsid w:val="00651872"/>
    <w:rsid w:val="00651AD8"/>
    <w:rsid w:val="00651B13"/>
    <w:rsid w:val="00653A6F"/>
    <w:rsid w:val="00654C60"/>
    <w:rsid w:val="00655BD4"/>
    <w:rsid w:val="00655F8D"/>
    <w:rsid w:val="00660562"/>
    <w:rsid w:val="00661079"/>
    <w:rsid w:val="0066219F"/>
    <w:rsid w:val="0066226B"/>
    <w:rsid w:val="0066370C"/>
    <w:rsid w:val="006639DA"/>
    <w:rsid w:val="00663FC5"/>
    <w:rsid w:val="00664218"/>
    <w:rsid w:val="006647D5"/>
    <w:rsid w:val="00664CF3"/>
    <w:rsid w:val="006663DF"/>
    <w:rsid w:val="00666ED1"/>
    <w:rsid w:val="00670759"/>
    <w:rsid w:val="006707AF"/>
    <w:rsid w:val="006707F9"/>
    <w:rsid w:val="006710B4"/>
    <w:rsid w:val="006726D3"/>
    <w:rsid w:val="00672D2D"/>
    <w:rsid w:val="0067362C"/>
    <w:rsid w:val="006759BE"/>
    <w:rsid w:val="006777DC"/>
    <w:rsid w:val="0067793B"/>
    <w:rsid w:val="0068243F"/>
    <w:rsid w:val="006830D2"/>
    <w:rsid w:val="0068402E"/>
    <w:rsid w:val="0068406C"/>
    <w:rsid w:val="00684A5D"/>
    <w:rsid w:val="00686E01"/>
    <w:rsid w:val="00687F04"/>
    <w:rsid w:val="006913B9"/>
    <w:rsid w:val="006914BD"/>
    <w:rsid w:val="00692529"/>
    <w:rsid w:val="00693A79"/>
    <w:rsid w:val="00694195"/>
    <w:rsid w:val="00694530"/>
    <w:rsid w:val="00694775"/>
    <w:rsid w:val="00695FC3"/>
    <w:rsid w:val="00696117"/>
    <w:rsid w:val="00696E03"/>
    <w:rsid w:val="006A1ED2"/>
    <w:rsid w:val="006A2333"/>
    <w:rsid w:val="006A4255"/>
    <w:rsid w:val="006A5514"/>
    <w:rsid w:val="006A552A"/>
    <w:rsid w:val="006A58E9"/>
    <w:rsid w:val="006A5D77"/>
    <w:rsid w:val="006A6BF9"/>
    <w:rsid w:val="006A7417"/>
    <w:rsid w:val="006B0411"/>
    <w:rsid w:val="006B104C"/>
    <w:rsid w:val="006B1211"/>
    <w:rsid w:val="006B1487"/>
    <w:rsid w:val="006B26C5"/>
    <w:rsid w:val="006B28FD"/>
    <w:rsid w:val="006B2D3C"/>
    <w:rsid w:val="006B343F"/>
    <w:rsid w:val="006B355B"/>
    <w:rsid w:val="006B415C"/>
    <w:rsid w:val="006B6746"/>
    <w:rsid w:val="006C09AA"/>
    <w:rsid w:val="006C3718"/>
    <w:rsid w:val="006C3797"/>
    <w:rsid w:val="006C40A2"/>
    <w:rsid w:val="006C4A9E"/>
    <w:rsid w:val="006C545E"/>
    <w:rsid w:val="006C5460"/>
    <w:rsid w:val="006C6B64"/>
    <w:rsid w:val="006C6C2B"/>
    <w:rsid w:val="006C71E6"/>
    <w:rsid w:val="006D0DE6"/>
    <w:rsid w:val="006D2804"/>
    <w:rsid w:val="006D3656"/>
    <w:rsid w:val="006D5792"/>
    <w:rsid w:val="006D7AC5"/>
    <w:rsid w:val="006E014C"/>
    <w:rsid w:val="006E1F68"/>
    <w:rsid w:val="006E325C"/>
    <w:rsid w:val="006E42C0"/>
    <w:rsid w:val="006E54C6"/>
    <w:rsid w:val="006E558E"/>
    <w:rsid w:val="006E55D6"/>
    <w:rsid w:val="006E5D69"/>
    <w:rsid w:val="006E7E39"/>
    <w:rsid w:val="006F1C7D"/>
    <w:rsid w:val="006F2A8B"/>
    <w:rsid w:val="006F407E"/>
    <w:rsid w:val="006F447E"/>
    <w:rsid w:val="006F4BC5"/>
    <w:rsid w:val="006F5219"/>
    <w:rsid w:val="006F5485"/>
    <w:rsid w:val="006F6105"/>
    <w:rsid w:val="006F7F39"/>
    <w:rsid w:val="00700B07"/>
    <w:rsid w:val="00700C9B"/>
    <w:rsid w:val="00700CD7"/>
    <w:rsid w:val="00700E93"/>
    <w:rsid w:val="00700FF5"/>
    <w:rsid w:val="007022D5"/>
    <w:rsid w:val="007035DE"/>
    <w:rsid w:val="00706943"/>
    <w:rsid w:val="00710D27"/>
    <w:rsid w:val="00711BE8"/>
    <w:rsid w:val="00712474"/>
    <w:rsid w:val="00712CDD"/>
    <w:rsid w:val="00715075"/>
    <w:rsid w:val="007155A9"/>
    <w:rsid w:val="007160FD"/>
    <w:rsid w:val="00717E54"/>
    <w:rsid w:val="00720CC8"/>
    <w:rsid w:val="007217C3"/>
    <w:rsid w:val="007220C8"/>
    <w:rsid w:val="00722FE8"/>
    <w:rsid w:val="00724128"/>
    <w:rsid w:val="007255B9"/>
    <w:rsid w:val="00725BD5"/>
    <w:rsid w:val="00725FFD"/>
    <w:rsid w:val="007273A6"/>
    <w:rsid w:val="00730A39"/>
    <w:rsid w:val="00731C8A"/>
    <w:rsid w:val="00731C94"/>
    <w:rsid w:val="0073235E"/>
    <w:rsid w:val="007334AB"/>
    <w:rsid w:val="00733879"/>
    <w:rsid w:val="00733A54"/>
    <w:rsid w:val="00734BC1"/>
    <w:rsid w:val="007357F8"/>
    <w:rsid w:val="007375DE"/>
    <w:rsid w:val="007377A0"/>
    <w:rsid w:val="00741D11"/>
    <w:rsid w:val="007427C7"/>
    <w:rsid w:val="00743638"/>
    <w:rsid w:val="007437E7"/>
    <w:rsid w:val="00744EFC"/>
    <w:rsid w:val="0074583E"/>
    <w:rsid w:val="00745B33"/>
    <w:rsid w:val="007511BA"/>
    <w:rsid w:val="007522AB"/>
    <w:rsid w:val="00752EB3"/>
    <w:rsid w:val="00753AB8"/>
    <w:rsid w:val="00754A46"/>
    <w:rsid w:val="00755582"/>
    <w:rsid w:val="0075666C"/>
    <w:rsid w:val="00757B76"/>
    <w:rsid w:val="00757C94"/>
    <w:rsid w:val="00762049"/>
    <w:rsid w:val="0076308E"/>
    <w:rsid w:val="00764B84"/>
    <w:rsid w:val="007653D8"/>
    <w:rsid w:val="00766140"/>
    <w:rsid w:val="007720AA"/>
    <w:rsid w:val="007723C6"/>
    <w:rsid w:val="00772C02"/>
    <w:rsid w:val="00773990"/>
    <w:rsid w:val="00773DDB"/>
    <w:rsid w:val="00773FF9"/>
    <w:rsid w:val="00776343"/>
    <w:rsid w:val="0077688B"/>
    <w:rsid w:val="00777C4D"/>
    <w:rsid w:val="007827D0"/>
    <w:rsid w:val="0078293E"/>
    <w:rsid w:val="007836C5"/>
    <w:rsid w:val="00783C4F"/>
    <w:rsid w:val="0078544D"/>
    <w:rsid w:val="00785C02"/>
    <w:rsid w:val="0078694A"/>
    <w:rsid w:val="00787F3F"/>
    <w:rsid w:val="0079000E"/>
    <w:rsid w:val="00792654"/>
    <w:rsid w:val="0079375B"/>
    <w:rsid w:val="0079525C"/>
    <w:rsid w:val="0079592B"/>
    <w:rsid w:val="007A0D8E"/>
    <w:rsid w:val="007A2629"/>
    <w:rsid w:val="007A2EA9"/>
    <w:rsid w:val="007A5813"/>
    <w:rsid w:val="007A5F7D"/>
    <w:rsid w:val="007B3415"/>
    <w:rsid w:val="007B45A8"/>
    <w:rsid w:val="007B5930"/>
    <w:rsid w:val="007B5C70"/>
    <w:rsid w:val="007B637C"/>
    <w:rsid w:val="007C1306"/>
    <w:rsid w:val="007C1506"/>
    <w:rsid w:val="007C1753"/>
    <w:rsid w:val="007C2347"/>
    <w:rsid w:val="007C24CD"/>
    <w:rsid w:val="007C4854"/>
    <w:rsid w:val="007C5217"/>
    <w:rsid w:val="007C5503"/>
    <w:rsid w:val="007C5833"/>
    <w:rsid w:val="007C5C79"/>
    <w:rsid w:val="007C6282"/>
    <w:rsid w:val="007C6E32"/>
    <w:rsid w:val="007D0158"/>
    <w:rsid w:val="007D1176"/>
    <w:rsid w:val="007D1F2E"/>
    <w:rsid w:val="007D3D65"/>
    <w:rsid w:val="007D4160"/>
    <w:rsid w:val="007D4E78"/>
    <w:rsid w:val="007D7EB2"/>
    <w:rsid w:val="007E016C"/>
    <w:rsid w:val="007E046B"/>
    <w:rsid w:val="007E1C6F"/>
    <w:rsid w:val="007E2539"/>
    <w:rsid w:val="007E3FE1"/>
    <w:rsid w:val="007E5E64"/>
    <w:rsid w:val="007F39F2"/>
    <w:rsid w:val="007F3BA4"/>
    <w:rsid w:val="007F4C7C"/>
    <w:rsid w:val="007F5A56"/>
    <w:rsid w:val="007F62AA"/>
    <w:rsid w:val="00800810"/>
    <w:rsid w:val="00800F9C"/>
    <w:rsid w:val="00802532"/>
    <w:rsid w:val="00802D10"/>
    <w:rsid w:val="008034A9"/>
    <w:rsid w:val="00803F0C"/>
    <w:rsid w:val="00804CE6"/>
    <w:rsid w:val="00805F34"/>
    <w:rsid w:val="00807E01"/>
    <w:rsid w:val="00810CA8"/>
    <w:rsid w:val="0081152E"/>
    <w:rsid w:val="00812824"/>
    <w:rsid w:val="00812F2C"/>
    <w:rsid w:val="00813460"/>
    <w:rsid w:val="00814DD4"/>
    <w:rsid w:val="00815D7B"/>
    <w:rsid w:val="00815E01"/>
    <w:rsid w:val="00817D1C"/>
    <w:rsid w:val="008200DA"/>
    <w:rsid w:val="00820744"/>
    <w:rsid w:val="00821B6D"/>
    <w:rsid w:val="00821C1B"/>
    <w:rsid w:val="0082314B"/>
    <w:rsid w:val="00823541"/>
    <w:rsid w:val="00823624"/>
    <w:rsid w:val="008236D5"/>
    <w:rsid w:val="00824123"/>
    <w:rsid w:val="008253F1"/>
    <w:rsid w:val="00825DB4"/>
    <w:rsid w:val="00827F24"/>
    <w:rsid w:val="00830EAE"/>
    <w:rsid w:val="00831441"/>
    <w:rsid w:val="008333FA"/>
    <w:rsid w:val="008337D2"/>
    <w:rsid w:val="00833FC3"/>
    <w:rsid w:val="00836459"/>
    <w:rsid w:val="00836467"/>
    <w:rsid w:val="00836BFB"/>
    <w:rsid w:val="00837FA8"/>
    <w:rsid w:val="00841964"/>
    <w:rsid w:val="00842584"/>
    <w:rsid w:val="008427CF"/>
    <w:rsid w:val="0084306B"/>
    <w:rsid w:val="00843209"/>
    <w:rsid w:val="00844651"/>
    <w:rsid w:val="0084485D"/>
    <w:rsid w:val="00847620"/>
    <w:rsid w:val="008526E7"/>
    <w:rsid w:val="008551D3"/>
    <w:rsid w:val="00855AB4"/>
    <w:rsid w:val="008574F7"/>
    <w:rsid w:val="0086028B"/>
    <w:rsid w:val="0086092B"/>
    <w:rsid w:val="00861690"/>
    <w:rsid w:val="00862AA6"/>
    <w:rsid w:val="00865253"/>
    <w:rsid w:val="00865F92"/>
    <w:rsid w:val="008728C6"/>
    <w:rsid w:val="00872B79"/>
    <w:rsid w:val="0087310B"/>
    <w:rsid w:val="0087313E"/>
    <w:rsid w:val="00874675"/>
    <w:rsid w:val="00876AE1"/>
    <w:rsid w:val="00876DD6"/>
    <w:rsid w:val="00877678"/>
    <w:rsid w:val="00877EAB"/>
    <w:rsid w:val="0088010C"/>
    <w:rsid w:val="00880F14"/>
    <w:rsid w:val="00882AD2"/>
    <w:rsid w:val="00883EB4"/>
    <w:rsid w:val="008840F3"/>
    <w:rsid w:val="008843AC"/>
    <w:rsid w:val="00887833"/>
    <w:rsid w:val="008906D1"/>
    <w:rsid w:val="00891AF4"/>
    <w:rsid w:val="00892FFF"/>
    <w:rsid w:val="008935D8"/>
    <w:rsid w:val="008955ED"/>
    <w:rsid w:val="00896374"/>
    <w:rsid w:val="00896703"/>
    <w:rsid w:val="0089776D"/>
    <w:rsid w:val="00897924"/>
    <w:rsid w:val="00897A8F"/>
    <w:rsid w:val="008A31D9"/>
    <w:rsid w:val="008A3C5B"/>
    <w:rsid w:val="008A549E"/>
    <w:rsid w:val="008A55E3"/>
    <w:rsid w:val="008A5901"/>
    <w:rsid w:val="008A68F3"/>
    <w:rsid w:val="008A73D3"/>
    <w:rsid w:val="008B04BB"/>
    <w:rsid w:val="008B1611"/>
    <w:rsid w:val="008B25AC"/>
    <w:rsid w:val="008B36D0"/>
    <w:rsid w:val="008B3700"/>
    <w:rsid w:val="008B38A3"/>
    <w:rsid w:val="008B3C21"/>
    <w:rsid w:val="008B4010"/>
    <w:rsid w:val="008B5B77"/>
    <w:rsid w:val="008B6C0C"/>
    <w:rsid w:val="008B7072"/>
    <w:rsid w:val="008B7F40"/>
    <w:rsid w:val="008C3F62"/>
    <w:rsid w:val="008C5C95"/>
    <w:rsid w:val="008C6A4D"/>
    <w:rsid w:val="008C6F52"/>
    <w:rsid w:val="008C7779"/>
    <w:rsid w:val="008D029D"/>
    <w:rsid w:val="008D1A2F"/>
    <w:rsid w:val="008D2CFB"/>
    <w:rsid w:val="008D5AA0"/>
    <w:rsid w:val="008D6A80"/>
    <w:rsid w:val="008D7030"/>
    <w:rsid w:val="008D769C"/>
    <w:rsid w:val="008D79DA"/>
    <w:rsid w:val="008E442B"/>
    <w:rsid w:val="008E4A18"/>
    <w:rsid w:val="008E608C"/>
    <w:rsid w:val="008E7F14"/>
    <w:rsid w:val="008F03D0"/>
    <w:rsid w:val="008F0D87"/>
    <w:rsid w:val="008F12B2"/>
    <w:rsid w:val="008F27C1"/>
    <w:rsid w:val="008F5151"/>
    <w:rsid w:val="008F5475"/>
    <w:rsid w:val="008F60C5"/>
    <w:rsid w:val="008F6444"/>
    <w:rsid w:val="00900DA5"/>
    <w:rsid w:val="0090115F"/>
    <w:rsid w:val="0090220E"/>
    <w:rsid w:val="0090299E"/>
    <w:rsid w:val="009052B7"/>
    <w:rsid w:val="009066B8"/>
    <w:rsid w:val="00907D1F"/>
    <w:rsid w:val="0091040C"/>
    <w:rsid w:val="0091064C"/>
    <w:rsid w:val="0091213D"/>
    <w:rsid w:val="00912722"/>
    <w:rsid w:val="0091298D"/>
    <w:rsid w:val="00914064"/>
    <w:rsid w:val="009141FC"/>
    <w:rsid w:val="00916132"/>
    <w:rsid w:val="0091628D"/>
    <w:rsid w:val="009165FA"/>
    <w:rsid w:val="00920F9D"/>
    <w:rsid w:val="00921137"/>
    <w:rsid w:val="0092134A"/>
    <w:rsid w:val="00921972"/>
    <w:rsid w:val="00923EA5"/>
    <w:rsid w:val="00924BC3"/>
    <w:rsid w:val="0092617A"/>
    <w:rsid w:val="0092756B"/>
    <w:rsid w:val="00930793"/>
    <w:rsid w:val="0093122C"/>
    <w:rsid w:val="0093263A"/>
    <w:rsid w:val="0093270B"/>
    <w:rsid w:val="00932CD4"/>
    <w:rsid w:val="00933054"/>
    <w:rsid w:val="00933218"/>
    <w:rsid w:val="0093335C"/>
    <w:rsid w:val="00933B84"/>
    <w:rsid w:val="00935825"/>
    <w:rsid w:val="009377F1"/>
    <w:rsid w:val="00937FC6"/>
    <w:rsid w:val="009404EF"/>
    <w:rsid w:val="00940EEF"/>
    <w:rsid w:val="0094195E"/>
    <w:rsid w:val="00941E95"/>
    <w:rsid w:val="00944181"/>
    <w:rsid w:val="00944B62"/>
    <w:rsid w:val="009458B3"/>
    <w:rsid w:val="009469F1"/>
    <w:rsid w:val="00947811"/>
    <w:rsid w:val="009506B5"/>
    <w:rsid w:val="00952BAD"/>
    <w:rsid w:val="009539FB"/>
    <w:rsid w:val="00954559"/>
    <w:rsid w:val="009554B9"/>
    <w:rsid w:val="00957302"/>
    <w:rsid w:val="00957CC7"/>
    <w:rsid w:val="00960497"/>
    <w:rsid w:val="009605A3"/>
    <w:rsid w:val="00960D61"/>
    <w:rsid w:val="00961BE8"/>
    <w:rsid w:val="0096289E"/>
    <w:rsid w:val="0096344A"/>
    <w:rsid w:val="00964E39"/>
    <w:rsid w:val="00965B0D"/>
    <w:rsid w:val="00966CD1"/>
    <w:rsid w:val="009673D4"/>
    <w:rsid w:val="00971111"/>
    <w:rsid w:val="00971FF0"/>
    <w:rsid w:val="009732B4"/>
    <w:rsid w:val="00974EDF"/>
    <w:rsid w:val="009750ED"/>
    <w:rsid w:val="009757D0"/>
    <w:rsid w:val="00976E08"/>
    <w:rsid w:val="00977C1F"/>
    <w:rsid w:val="00980325"/>
    <w:rsid w:val="009827BD"/>
    <w:rsid w:val="00987453"/>
    <w:rsid w:val="009875F8"/>
    <w:rsid w:val="00987929"/>
    <w:rsid w:val="009900F9"/>
    <w:rsid w:val="00990D95"/>
    <w:rsid w:val="00991B91"/>
    <w:rsid w:val="00991D07"/>
    <w:rsid w:val="00993122"/>
    <w:rsid w:val="00993BE0"/>
    <w:rsid w:val="00994813"/>
    <w:rsid w:val="00994D8E"/>
    <w:rsid w:val="00994F37"/>
    <w:rsid w:val="00995110"/>
    <w:rsid w:val="00996A76"/>
    <w:rsid w:val="00997EC8"/>
    <w:rsid w:val="009A120E"/>
    <w:rsid w:val="009A19C6"/>
    <w:rsid w:val="009A2DD6"/>
    <w:rsid w:val="009A54BC"/>
    <w:rsid w:val="009A5FCB"/>
    <w:rsid w:val="009A6FF3"/>
    <w:rsid w:val="009A7C3A"/>
    <w:rsid w:val="009B0700"/>
    <w:rsid w:val="009B0FF0"/>
    <w:rsid w:val="009B1F3A"/>
    <w:rsid w:val="009B5542"/>
    <w:rsid w:val="009B7CE0"/>
    <w:rsid w:val="009B7E9B"/>
    <w:rsid w:val="009C0681"/>
    <w:rsid w:val="009C080F"/>
    <w:rsid w:val="009C38D8"/>
    <w:rsid w:val="009C42D8"/>
    <w:rsid w:val="009C5134"/>
    <w:rsid w:val="009C5598"/>
    <w:rsid w:val="009C5C7F"/>
    <w:rsid w:val="009C69B7"/>
    <w:rsid w:val="009C710D"/>
    <w:rsid w:val="009D0347"/>
    <w:rsid w:val="009D03E0"/>
    <w:rsid w:val="009D10D4"/>
    <w:rsid w:val="009D1177"/>
    <w:rsid w:val="009D165F"/>
    <w:rsid w:val="009D296B"/>
    <w:rsid w:val="009D357F"/>
    <w:rsid w:val="009D35D1"/>
    <w:rsid w:val="009D367A"/>
    <w:rsid w:val="009D3E17"/>
    <w:rsid w:val="009D3EE2"/>
    <w:rsid w:val="009D4231"/>
    <w:rsid w:val="009D482C"/>
    <w:rsid w:val="009D748C"/>
    <w:rsid w:val="009D7FF2"/>
    <w:rsid w:val="009E0921"/>
    <w:rsid w:val="009E179F"/>
    <w:rsid w:val="009E3329"/>
    <w:rsid w:val="009E6B33"/>
    <w:rsid w:val="009E759C"/>
    <w:rsid w:val="009F1E61"/>
    <w:rsid w:val="009F2489"/>
    <w:rsid w:val="009F2E0A"/>
    <w:rsid w:val="009F3766"/>
    <w:rsid w:val="009F39D6"/>
    <w:rsid w:val="009F435C"/>
    <w:rsid w:val="009F43CC"/>
    <w:rsid w:val="009F5967"/>
    <w:rsid w:val="00A02E72"/>
    <w:rsid w:val="00A0347B"/>
    <w:rsid w:val="00A0411B"/>
    <w:rsid w:val="00A04F92"/>
    <w:rsid w:val="00A050E9"/>
    <w:rsid w:val="00A07A0E"/>
    <w:rsid w:val="00A07E81"/>
    <w:rsid w:val="00A107A4"/>
    <w:rsid w:val="00A11B68"/>
    <w:rsid w:val="00A12060"/>
    <w:rsid w:val="00A1277C"/>
    <w:rsid w:val="00A13036"/>
    <w:rsid w:val="00A14745"/>
    <w:rsid w:val="00A149DF"/>
    <w:rsid w:val="00A14F9E"/>
    <w:rsid w:val="00A16331"/>
    <w:rsid w:val="00A168DD"/>
    <w:rsid w:val="00A17A5A"/>
    <w:rsid w:val="00A20477"/>
    <w:rsid w:val="00A22077"/>
    <w:rsid w:val="00A2288C"/>
    <w:rsid w:val="00A23028"/>
    <w:rsid w:val="00A245F3"/>
    <w:rsid w:val="00A2470C"/>
    <w:rsid w:val="00A24EBD"/>
    <w:rsid w:val="00A2521B"/>
    <w:rsid w:val="00A25C7F"/>
    <w:rsid w:val="00A27826"/>
    <w:rsid w:val="00A31B2E"/>
    <w:rsid w:val="00A325B5"/>
    <w:rsid w:val="00A32661"/>
    <w:rsid w:val="00A32AF5"/>
    <w:rsid w:val="00A3387A"/>
    <w:rsid w:val="00A33A54"/>
    <w:rsid w:val="00A34391"/>
    <w:rsid w:val="00A35406"/>
    <w:rsid w:val="00A36131"/>
    <w:rsid w:val="00A36C3A"/>
    <w:rsid w:val="00A36DDE"/>
    <w:rsid w:val="00A37791"/>
    <w:rsid w:val="00A4028B"/>
    <w:rsid w:val="00A4098B"/>
    <w:rsid w:val="00A43601"/>
    <w:rsid w:val="00A448E0"/>
    <w:rsid w:val="00A4559C"/>
    <w:rsid w:val="00A46C1D"/>
    <w:rsid w:val="00A511A5"/>
    <w:rsid w:val="00A52371"/>
    <w:rsid w:val="00A523DD"/>
    <w:rsid w:val="00A55294"/>
    <w:rsid w:val="00A562EE"/>
    <w:rsid w:val="00A60E08"/>
    <w:rsid w:val="00A62DC9"/>
    <w:rsid w:val="00A640A4"/>
    <w:rsid w:val="00A64C4B"/>
    <w:rsid w:val="00A668FA"/>
    <w:rsid w:val="00A67209"/>
    <w:rsid w:val="00A673B9"/>
    <w:rsid w:val="00A70677"/>
    <w:rsid w:val="00A71983"/>
    <w:rsid w:val="00A72D58"/>
    <w:rsid w:val="00A75551"/>
    <w:rsid w:val="00A75954"/>
    <w:rsid w:val="00A759E7"/>
    <w:rsid w:val="00A75F14"/>
    <w:rsid w:val="00A76B6A"/>
    <w:rsid w:val="00A76F8E"/>
    <w:rsid w:val="00A77DC7"/>
    <w:rsid w:val="00A8156E"/>
    <w:rsid w:val="00A81742"/>
    <w:rsid w:val="00A828AD"/>
    <w:rsid w:val="00A82F40"/>
    <w:rsid w:val="00A83720"/>
    <w:rsid w:val="00A84EFE"/>
    <w:rsid w:val="00A851DE"/>
    <w:rsid w:val="00A8580A"/>
    <w:rsid w:val="00A85CED"/>
    <w:rsid w:val="00A86455"/>
    <w:rsid w:val="00A86740"/>
    <w:rsid w:val="00A870A9"/>
    <w:rsid w:val="00A872A0"/>
    <w:rsid w:val="00A8745A"/>
    <w:rsid w:val="00A87CB6"/>
    <w:rsid w:val="00A909E6"/>
    <w:rsid w:val="00A91671"/>
    <w:rsid w:val="00A91D75"/>
    <w:rsid w:val="00A933DD"/>
    <w:rsid w:val="00A9354A"/>
    <w:rsid w:val="00A93F12"/>
    <w:rsid w:val="00A94109"/>
    <w:rsid w:val="00A94517"/>
    <w:rsid w:val="00A9451B"/>
    <w:rsid w:val="00A949E8"/>
    <w:rsid w:val="00A95320"/>
    <w:rsid w:val="00A95B08"/>
    <w:rsid w:val="00A9645E"/>
    <w:rsid w:val="00A964EE"/>
    <w:rsid w:val="00A9706D"/>
    <w:rsid w:val="00A9707D"/>
    <w:rsid w:val="00AA0A31"/>
    <w:rsid w:val="00AA1040"/>
    <w:rsid w:val="00AA1E28"/>
    <w:rsid w:val="00AA585D"/>
    <w:rsid w:val="00AA5DBD"/>
    <w:rsid w:val="00AA6E73"/>
    <w:rsid w:val="00AB1849"/>
    <w:rsid w:val="00AB1CAE"/>
    <w:rsid w:val="00AB2B49"/>
    <w:rsid w:val="00AB3890"/>
    <w:rsid w:val="00AB394F"/>
    <w:rsid w:val="00AB5B9E"/>
    <w:rsid w:val="00AB6C71"/>
    <w:rsid w:val="00AB7CDD"/>
    <w:rsid w:val="00AC18F8"/>
    <w:rsid w:val="00AC2E1A"/>
    <w:rsid w:val="00AC347A"/>
    <w:rsid w:val="00AC4452"/>
    <w:rsid w:val="00AC4489"/>
    <w:rsid w:val="00AC53F1"/>
    <w:rsid w:val="00AC6812"/>
    <w:rsid w:val="00AC69CC"/>
    <w:rsid w:val="00AC6B22"/>
    <w:rsid w:val="00AC6E70"/>
    <w:rsid w:val="00AC7490"/>
    <w:rsid w:val="00AD0535"/>
    <w:rsid w:val="00AD0BEC"/>
    <w:rsid w:val="00AD3768"/>
    <w:rsid w:val="00AD44EA"/>
    <w:rsid w:val="00AD5909"/>
    <w:rsid w:val="00AD5C23"/>
    <w:rsid w:val="00AE001B"/>
    <w:rsid w:val="00AE1018"/>
    <w:rsid w:val="00AE15CF"/>
    <w:rsid w:val="00AE1C44"/>
    <w:rsid w:val="00AE41C0"/>
    <w:rsid w:val="00AE477D"/>
    <w:rsid w:val="00AE4EF6"/>
    <w:rsid w:val="00AE5FB2"/>
    <w:rsid w:val="00AE6124"/>
    <w:rsid w:val="00AE692C"/>
    <w:rsid w:val="00AE7132"/>
    <w:rsid w:val="00AE7B5D"/>
    <w:rsid w:val="00AE7BCB"/>
    <w:rsid w:val="00AF0BA9"/>
    <w:rsid w:val="00AF14B8"/>
    <w:rsid w:val="00AF1E4B"/>
    <w:rsid w:val="00AF2BE5"/>
    <w:rsid w:val="00AF5FE5"/>
    <w:rsid w:val="00AF6688"/>
    <w:rsid w:val="00AF6D06"/>
    <w:rsid w:val="00B00B7D"/>
    <w:rsid w:val="00B01B82"/>
    <w:rsid w:val="00B02ADD"/>
    <w:rsid w:val="00B03898"/>
    <w:rsid w:val="00B05A57"/>
    <w:rsid w:val="00B0645E"/>
    <w:rsid w:val="00B100B2"/>
    <w:rsid w:val="00B11533"/>
    <w:rsid w:val="00B12479"/>
    <w:rsid w:val="00B12C63"/>
    <w:rsid w:val="00B13816"/>
    <w:rsid w:val="00B16ECD"/>
    <w:rsid w:val="00B17A8F"/>
    <w:rsid w:val="00B17EF6"/>
    <w:rsid w:val="00B247EE"/>
    <w:rsid w:val="00B24CD8"/>
    <w:rsid w:val="00B25184"/>
    <w:rsid w:val="00B26CAF"/>
    <w:rsid w:val="00B27825"/>
    <w:rsid w:val="00B30063"/>
    <w:rsid w:val="00B30811"/>
    <w:rsid w:val="00B30F6B"/>
    <w:rsid w:val="00B31DA5"/>
    <w:rsid w:val="00B3218B"/>
    <w:rsid w:val="00B329B5"/>
    <w:rsid w:val="00B34216"/>
    <w:rsid w:val="00B3499F"/>
    <w:rsid w:val="00B37434"/>
    <w:rsid w:val="00B414DD"/>
    <w:rsid w:val="00B41E8D"/>
    <w:rsid w:val="00B42356"/>
    <w:rsid w:val="00B42F3A"/>
    <w:rsid w:val="00B430CB"/>
    <w:rsid w:val="00B43799"/>
    <w:rsid w:val="00B4391D"/>
    <w:rsid w:val="00B44935"/>
    <w:rsid w:val="00B44FCE"/>
    <w:rsid w:val="00B454B6"/>
    <w:rsid w:val="00B45EBE"/>
    <w:rsid w:val="00B46ACA"/>
    <w:rsid w:val="00B46B4E"/>
    <w:rsid w:val="00B47F05"/>
    <w:rsid w:val="00B50619"/>
    <w:rsid w:val="00B50672"/>
    <w:rsid w:val="00B50CD3"/>
    <w:rsid w:val="00B51939"/>
    <w:rsid w:val="00B52CCA"/>
    <w:rsid w:val="00B54700"/>
    <w:rsid w:val="00B5692D"/>
    <w:rsid w:val="00B60F19"/>
    <w:rsid w:val="00B629F7"/>
    <w:rsid w:val="00B64AB9"/>
    <w:rsid w:val="00B6557A"/>
    <w:rsid w:val="00B6646F"/>
    <w:rsid w:val="00B665C1"/>
    <w:rsid w:val="00B700D4"/>
    <w:rsid w:val="00B71883"/>
    <w:rsid w:val="00B74190"/>
    <w:rsid w:val="00B74D4E"/>
    <w:rsid w:val="00B7531D"/>
    <w:rsid w:val="00B75A61"/>
    <w:rsid w:val="00B774AC"/>
    <w:rsid w:val="00B7787A"/>
    <w:rsid w:val="00B81827"/>
    <w:rsid w:val="00B81DF9"/>
    <w:rsid w:val="00B82085"/>
    <w:rsid w:val="00B822E6"/>
    <w:rsid w:val="00B827CB"/>
    <w:rsid w:val="00B82F7C"/>
    <w:rsid w:val="00B83CD6"/>
    <w:rsid w:val="00B84723"/>
    <w:rsid w:val="00B84A69"/>
    <w:rsid w:val="00B856BA"/>
    <w:rsid w:val="00B8640E"/>
    <w:rsid w:val="00B90307"/>
    <w:rsid w:val="00B90762"/>
    <w:rsid w:val="00B90C3C"/>
    <w:rsid w:val="00B924A6"/>
    <w:rsid w:val="00B92B82"/>
    <w:rsid w:val="00B93FE5"/>
    <w:rsid w:val="00B9424D"/>
    <w:rsid w:val="00B94404"/>
    <w:rsid w:val="00B947E2"/>
    <w:rsid w:val="00B95582"/>
    <w:rsid w:val="00B9584D"/>
    <w:rsid w:val="00B95C51"/>
    <w:rsid w:val="00B9646A"/>
    <w:rsid w:val="00B96A5C"/>
    <w:rsid w:val="00B970DA"/>
    <w:rsid w:val="00BA0C2D"/>
    <w:rsid w:val="00BA19F5"/>
    <w:rsid w:val="00BA1BEC"/>
    <w:rsid w:val="00BA2636"/>
    <w:rsid w:val="00BA4657"/>
    <w:rsid w:val="00BA6D6C"/>
    <w:rsid w:val="00BB08F1"/>
    <w:rsid w:val="00BB1878"/>
    <w:rsid w:val="00BB2142"/>
    <w:rsid w:val="00BB27E6"/>
    <w:rsid w:val="00BB2AF7"/>
    <w:rsid w:val="00BB328E"/>
    <w:rsid w:val="00BB3572"/>
    <w:rsid w:val="00BB46F6"/>
    <w:rsid w:val="00BB7758"/>
    <w:rsid w:val="00BC0018"/>
    <w:rsid w:val="00BC035A"/>
    <w:rsid w:val="00BC0E2F"/>
    <w:rsid w:val="00BC29DA"/>
    <w:rsid w:val="00BC34E2"/>
    <w:rsid w:val="00BC5121"/>
    <w:rsid w:val="00BC7D99"/>
    <w:rsid w:val="00BC7F56"/>
    <w:rsid w:val="00BD0322"/>
    <w:rsid w:val="00BD0B85"/>
    <w:rsid w:val="00BD39AE"/>
    <w:rsid w:val="00BD3F61"/>
    <w:rsid w:val="00BD4CB8"/>
    <w:rsid w:val="00BD4F17"/>
    <w:rsid w:val="00BD7222"/>
    <w:rsid w:val="00BE092C"/>
    <w:rsid w:val="00BE18AA"/>
    <w:rsid w:val="00BE1B18"/>
    <w:rsid w:val="00BE37AD"/>
    <w:rsid w:val="00BE37F9"/>
    <w:rsid w:val="00BE3FA7"/>
    <w:rsid w:val="00BE46EE"/>
    <w:rsid w:val="00BE4B55"/>
    <w:rsid w:val="00BE55C8"/>
    <w:rsid w:val="00BE65C9"/>
    <w:rsid w:val="00BE6BDD"/>
    <w:rsid w:val="00BE6D61"/>
    <w:rsid w:val="00BE6F36"/>
    <w:rsid w:val="00BF263E"/>
    <w:rsid w:val="00BF3F88"/>
    <w:rsid w:val="00BF4131"/>
    <w:rsid w:val="00BF4925"/>
    <w:rsid w:val="00BF4ACB"/>
    <w:rsid w:val="00BF5512"/>
    <w:rsid w:val="00BF6BF4"/>
    <w:rsid w:val="00C05531"/>
    <w:rsid w:val="00C058F6"/>
    <w:rsid w:val="00C05AFB"/>
    <w:rsid w:val="00C0763F"/>
    <w:rsid w:val="00C07B19"/>
    <w:rsid w:val="00C102EC"/>
    <w:rsid w:val="00C12E80"/>
    <w:rsid w:val="00C134F8"/>
    <w:rsid w:val="00C153B4"/>
    <w:rsid w:val="00C21CCD"/>
    <w:rsid w:val="00C22ED6"/>
    <w:rsid w:val="00C2506E"/>
    <w:rsid w:val="00C255A9"/>
    <w:rsid w:val="00C2599E"/>
    <w:rsid w:val="00C26CE4"/>
    <w:rsid w:val="00C2792B"/>
    <w:rsid w:val="00C3049C"/>
    <w:rsid w:val="00C30C20"/>
    <w:rsid w:val="00C336DF"/>
    <w:rsid w:val="00C350F0"/>
    <w:rsid w:val="00C35403"/>
    <w:rsid w:val="00C364CA"/>
    <w:rsid w:val="00C37A04"/>
    <w:rsid w:val="00C44434"/>
    <w:rsid w:val="00C4488A"/>
    <w:rsid w:val="00C46574"/>
    <w:rsid w:val="00C46DA1"/>
    <w:rsid w:val="00C47A75"/>
    <w:rsid w:val="00C5136F"/>
    <w:rsid w:val="00C51887"/>
    <w:rsid w:val="00C51BF9"/>
    <w:rsid w:val="00C521DD"/>
    <w:rsid w:val="00C52300"/>
    <w:rsid w:val="00C52B0B"/>
    <w:rsid w:val="00C53FE8"/>
    <w:rsid w:val="00C5451A"/>
    <w:rsid w:val="00C6063C"/>
    <w:rsid w:val="00C611C6"/>
    <w:rsid w:val="00C6255A"/>
    <w:rsid w:val="00C63F7A"/>
    <w:rsid w:val="00C64040"/>
    <w:rsid w:val="00C674E2"/>
    <w:rsid w:val="00C71686"/>
    <w:rsid w:val="00C721AE"/>
    <w:rsid w:val="00C723B3"/>
    <w:rsid w:val="00C73410"/>
    <w:rsid w:val="00C74E01"/>
    <w:rsid w:val="00C757EE"/>
    <w:rsid w:val="00C75EFF"/>
    <w:rsid w:val="00C774BF"/>
    <w:rsid w:val="00C80344"/>
    <w:rsid w:val="00C80C6D"/>
    <w:rsid w:val="00C82F6A"/>
    <w:rsid w:val="00C83BA5"/>
    <w:rsid w:val="00C83ED6"/>
    <w:rsid w:val="00C840FD"/>
    <w:rsid w:val="00C85C5C"/>
    <w:rsid w:val="00C8748F"/>
    <w:rsid w:val="00C913FE"/>
    <w:rsid w:val="00C927D9"/>
    <w:rsid w:val="00C936DE"/>
    <w:rsid w:val="00C93F2A"/>
    <w:rsid w:val="00C956E9"/>
    <w:rsid w:val="00CA0EA0"/>
    <w:rsid w:val="00CA1BCF"/>
    <w:rsid w:val="00CA2599"/>
    <w:rsid w:val="00CA3194"/>
    <w:rsid w:val="00CA3756"/>
    <w:rsid w:val="00CA381F"/>
    <w:rsid w:val="00CA3C4A"/>
    <w:rsid w:val="00CA5FA5"/>
    <w:rsid w:val="00CB05F6"/>
    <w:rsid w:val="00CB0830"/>
    <w:rsid w:val="00CB0A95"/>
    <w:rsid w:val="00CB1A2A"/>
    <w:rsid w:val="00CB1C45"/>
    <w:rsid w:val="00CB1E5F"/>
    <w:rsid w:val="00CB2096"/>
    <w:rsid w:val="00CB3E65"/>
    <w:rsid w:val="00CB3ECE"/>
    <w:rsid w:val="00CB4DE9"/>
    <w:rsid w:val="00CB57E3"/>
    <w:rsid w:val="00CB6E60"/>
    <w:rsid w:val="00CB7929"/>
    <w:rsid w:val="00CC2C16"/>
    <w:rsid w:val="00CC426D"/>
    <w:rsid w:val="00CC4400"/>
    <w:rsid w:val="00CC7255"/>
    <w:rsid w:val="00CC7563"/>
    <w:rsid w:val="00CD1E39"/>
    <w:rsid w:val="00CD42C8"/>
    <w:rsid w:val="00CD459A"/>
    <w:rsid w:val="00CD5C2F"/>
    <w:rsid w:val="00CD5C71"/>
    <w:rsid w:val="00CD5FB5"/>
    <w:rsid w:val="00CD7430"/>
    <w:rsid w:val="00CE01AC"/>
    <w:rsid w:val="00CE1F15"/>
    <w:rsid w:val="00CE228B"/>
    <w:rsid w:val="00CE2580"/>
    <w:rsid w:val="00CE3891"/>
    <w:rsid w:val="00CE42E5"/>
    <w:rsid w:val="00CE6341"/>
    <w:rsid w:val="00CE66AB"/>
    <w:rsid w:val="00CF026E"/>
    <w:rsid w:val="00CF0855"/>
    <w:rsid w:val="00CF11E7"/>
    <w:rsid w:val="00CF1556"/>
    <w:rsid w:val="00CF24F5"/>
    <w:rsid w:val="00CF3240"/>
    <w:rsid w:val="00CF3EC2"/>
    <w:rsid w:val="00CF4318"/>
    <w:rsid w:val="00CF49E7"/>
    <w:rsid w:val="00CF4CB9"/>
    <w:rsid w:val="00CF67D1"/>
    <w:rsid w:val="00CF6FC1"/>
    <w:rsid w:val="00D00182"/>
    <w:rsid w:val="00D00A79"/>
    <w:rsid w:val="00D0157E"/>
    <w:rsid w:val="00D02780"/>
    <w:rsid w:val="00D04C5C"/>
    <w:rsid w:val="00D05BF1"/>
    <w:rsid w:val="00D06C03"/>
    <w:rsid w:val="00D07A60"/>
    <w:rsid w:val="00D07CC7"/>
    <w:rsid w:val="00D10EF6"/>
    <w:rsid w:val="00D1321D"/>
    <w:rsid w:val="00D162F7"/>
    <w:rsid w:val="00D173FA"/>
    <w:rsid w:val="00D17765"/>
    <w:rsid w:val="00D17925"/>
    <w:rsid w:val="00D21BDB"/>
    <w:rsid w:val="00D2215A"/>
    <w:rsid w:val="00D222D7"/>
    <w:rsid w:val="00D22CC8"/>
    <w:rsid w:val="00D233BF"/>
    <w:rsid w:val="00D23762"/>
    <w:rsid w:val="00D2552C"/>
    <w:rsid w:val="00D258AF"/>
    <w:rsid w:val="00D25A14"/>
    <w:rsid w:val="00D32CCD"/>
    <w:rsid w:val="00D32E28"/>
    <w:rsid w:val="00D33FFA"/>
    <w:rsid w:val="00D344FF"/>
    <w:rsid w:val="00D350D8"/>
    <w:rsid w:val="00D35148"/>
    <w:rsid w:val="00D35839"/>
    <w:rsid w:val="00D3751F"/>
    <w:rsid w:val="00D40CAB"/>
    <w:rsid w:val="00D44567"/>
    <w:rsid w:val="00D455E5"/>
    <w:rsid w:val="00D45D3A"/>
    <w:rsid w:val="00D45EBB"/>
    <w:rsid w:val="00D47418"/>
    <w:rsid w:val="00D52BAE"/>
    <w:rsid w:val="00D54968"/>
    <w:rsid w:val="00D54BD8"/>
    <w:rsid w:val="00D555C7"/>
    <w:rsid w:val="00D560C5"/>
    <w:rsid w:val="00D56A06"/>
    <w:rsid w:val="00D56C5C"/>
    <w:rsid w:val="00D578D2"/>
    <w:rsid w:val="00D60AA2"/>
    <w:rsid w:val="00D61661"/>
    <w:rsid w:val="00D6313E"/>
    <w:rsid w:val="00D64B87"/>
    <w:rsid w:val="00D651B0"/>
    <w:rsid w:val="00D676A0"/>
    <w:rsid w:val="00D71E97"/>
    <w:rsid w:val="00D75133"/>
    <w:rsid w:val="00D80EF7"/>
    <w:rsid w:val="00D819F4"/>
    <w:rsid w:val="00D824CD"/>
    <w:rsid w:val="00D829AF"/>
    <w:rsid w:val="00D82B13"/>
    <w:rsid w:val="00D84411"/>
    <w:rsid w:val="00D84B0C"/>
    <w:rsid w:val="00D86769"/>
    <w:rsid w:val="00D86A84"/>
    <w:rsid w:val="00D86F37"/>
    <w:rsid w:val="00D876DD"/>
    <w:rsid w:val="00D878A2"/>
    <w:rsid w:val="00D911A8"/>
    <w:rsid w:val="00D95EE7"/>
    <w:rsid w:val="00D96F94"/>
    <w:rsid w:val="00DA0BDA"/>
    <w:rsid w:val="00DA1286"/>
    <w:rsid w:val="00DA13C4"/>
    <w:rsid w:val="00DA23AA"/>
    <w:rsid w:val="00DA2488"/>
    <w:rsid w:val="00DA3BFD"/>
    <w:rsid w:val="00DA45A2"/>
    <w:rsid w:val="00DA4921"/>
    <w:rsid w:val="00DA6F3D"/>
    <w:rsid w:val="00DA6F76"/>
    <w:rsid w:val="00DB122A"/>
    <w:rsid w:val="00DB157E"/>
    <w:rsid w:val="00DB1F7E"/>
    <w:rsid w:val="00DB2667"/>
    <w:rsid w:val="00DB4579"/>
    <w:rsid w:val="00DB50EF"/>
    <w:rsid w:val="00DB6FFD"/>
    <w:rsid w:val="00DC42D0"/>
    <w:rsid w:val="00DC4534"/>
    <w:rsid w:val="00DC60AC"/>
    <w:rsid w:val="00DC666B"/>
    <w:rsid w:val="00DC701A"/>
    <w:rsid w:val="00DC7FC3"/>
    <w:rsid w:val="00DD0860"/>
    <w:rsid w:val="00DD136A"/>
    <w:rsid w:val="00DD2D27"/>
    <w:rsid w:val="00DD300E"/>
    <w:rsid w:val="00DD5080"/>
    <w:rsid w:val="00DD6CB0"/>
    <w:rsid w:val="00DD71FA"/>
    <w:rsid w:val="00DE03E5"/>
    <w:rsid w:val="00DE109B"/>
    <w:rsid w:val="00DE3426"/>
    <w:rsid w:val="00DE41C8"/>
    <w:rsid w:val="00DE4387"/>
    <w:rsid w:val="00DE5804"/>
    <w:rsid w:val="00DE5847"/>
    <w:rsid w:val="00DE6745"/>
    <w:rsid w:val="00DE7145"/>
    <w:rsid w:val="00DE759A"/>
    <w:rsid w:val="00DF0760"/>
    <w:rsid w:val="00DF1372"/>
    <w:rsid w:val="00DF189C"/>
    <w:rsid w:val="00DF24DC"/>
    <w:rsid w:val="00DF2E67"/>
    <w:rsid w:val="00DF3FD4"/>
    <w:rsid w:val="00DF45B9"/>
    <w:rsid w:val="00DF5430"/>
    <w:rsid w:val="00DF7866"/>
    <w:rsid w:val="00E02300"/>
    <w:rsid w:val="00E032BF"/>
    <w:rsid w:val="00E0378E"/>
    <w:rsid w:val="00E044FC"/>
    <w:rsid w:val="00E0493C"/>
    <w:rsid w:val="00E04BBF"/>
    <w:rsid w:val="00E064DD"/>
    <w:rsid w:val="00E07162"/>
    <w:rsid w:val="00E12B53"/>
    <w:rsid w:val="00E13B35"/>
    <w:rsid w:val="00E14220"/>
    <w:rsid w:val="00E14E35"/>
    <w:rsid w:val="00E15032"/>
    <w:rsid w:val="00E15AA8"/>
    <w:rsid w:val="00E15FA0"/>
    <w:rsid w:val="00E1624E"/>
    <w:rsid w:val="00E17136"/>
    <w:rsid w:val="00E176BE"/>
    <w:rsid w:val="00E2273F"/>
    <w:rsid w:val="00E22BC3"/>
    <w:rsid w:val="00E23931"/>
    <w:rsid w:val="00E24299"/>
    <w:rsid w:val="00E24A45"/>
    <w:rsid w:val="00E24D57"/>
    <w:rsid w:val="00E25248"/>
    <w:rsid w:val="00E2550E"/>
    <w:rsid w:val="00E2611B"/>
    <w:rsid w:val="00E302BB"/>
    <w:rsid w:val="00E308EB"/>
    <w:rsid w:val="00E30E5F"/>
    <w:rsid w:val="00E33B59"/>
    <w:rsid w:val="00E356DB"/>
    <w:rsid w:val="00E35C57"/>
    <w:rsid w:val="00E35E4A"/>
    <w:rsid w:val="00E35EDE"/>
    <w:rsid w:val="00E364FE"/>
    <w:rsid w:val="00E366A7"/>
    <w:rsid w:val="00E40F21"/>
    <w:rsid w:val="00E417BA"/>
    <w:rsid w:val="00E42996"/>
    <w:rsid w:val="00E435F5"/>
    <w:rsid w:val="00E4385A"/>
    <w:rsid w:val="00E43D5B"/>
    <w:rsid w:val="00E4583C"/>
    <w:rsid w:val="00E46B29"/>
    <w:rsid w:val="00E4744F"/>
    <w:rsid w:val="00E50569"/>
    <w:rsid w:val="00E505E3"/>
    <w:rsid w:val="00E51068"/>
    <w:rsid w:val="00E52392"/>
    <w:rsid w:val="00E53211"/>
    <w:rsid w:val="00E53266"/>
    <w:rsid w:val="00E53772"/>
    <w:rsid w:val="00E54394"/>
    <w:rsid w:val="00E57C49"/>
    <w:rsid w:val="00E60155"/>
    <w:rsid w:val="00E607FB"/>
    <w:rsid w:val="00E622C5"/>
    <w:rsid w:val="00E65A29"/>
    <w:rsid w:val="00E66671"/>
    <w:rsid w:val="00E66D96"/>
    <w:rsid w:val="00E66EB3"/>
    <w:rsid w:val="00E719A2"/>
    <w:rsid w:val="00E7344F"/>
    <w:rsid w:val="00E74D74"/>
    <w:rsid w:val="00E76AA1"/>
    <w:rsid w:val="00E779EB"/>
    <w:rsid w:val="00E80CDE"/>
    <w:rsid w:val="00E80EFC"/>
    <w:rsid w:val="00E81EC1"/>
    <w:rsid w:val="00E81ED3"/>
    <w:rsid w:val="00E830D6"/>
    <w:rsid w:val="00E83C20"/>
    <w:rsid w:val="00E85348"/>
    <w:rsid w:val="00E8593F"/>
    <w:rsid w:val="00E85D15"/>
    <w:rsid w:val="00E86C92"/>
    <w:rsid w:val="00E871F6"/>
    <w:rsid w:val="00E87598"/>
    <w:rsid w:val="00E90C24"/>
    <w:rsid w:val="00E920F0"/>
    <w:rsid w:val="00E922A6"/>
    <w:rsid w:val="00E95AF6"/>
    <w:rsid w:val="00E97B6F"/>
    <w:rsid w:val="00EA0E77"/>
    <w:rsid w:val="00EA0F7C"/>
    <w:rsid w:val="00EA1665"/>
    <w:rsid w:val="00EA23D3"/>
    <w:rsid w:val="00EA3382"/>
    <w:rsid w:val="00EA3ADC"/>
    <w:rsid w:val="00EA3F0A"/>
    <w:rsid w:val="00EA5E16"/>
    <w:rsid w:val="00EA6906"/>
    <w:rsid w:val="00EB080D"/>
    <w:rsid w:val="00EB2C3D"/>
    <w:rsid w:val="00EB2D78"/>
    <w:rsid w:val="00EB4632"/>
    <w:rsid w:val="00EB4A01"/>
    <w:rsid w:val="00EB5E9F"/>
    <w:rsid w:val="00EB63DC"/>
    <w:rsid w:val="00EB7D00"/>
    <w:rsid w:val="00EC15FE"/>
    <w:rsid w:val="00EC17A1"/>
    <w:rsid w:val="00EC26B8"/>
    <w:rsid w:val="00EC3A5D"/>
    <w:rsid w:val="00EC423E"/>
    <w:rsid w:val="00EC5FEE"/>
    <w:rsid w:val="00EC76CB"/>
    <w:rsid w:val="00ED09C0"/>
    <w:rsid w:val="00ED127F"/>
    <w:rsid w:val="00ED170E"/>
    <w:rsid w:val="00ED1804"/>
    <w:rsid w:val="00ED2621"/>
    <w:rsid w:val="00ED3970"/>
    <w:rsid w:val="00ED3BCD"/>
    <w:rsid w:val="00ED42D2"/>
    <w:rsid w:val="00ED6022"/>
    <w:rsid w:val="00ED7468"/>
    <w:rsid w:val="00EE038B"/>
    <w:rsid w:val="00EE2CF9"/>
    <w:rsid w:val="00EE2FBB"/>
    <w:rsid w:val="00EE3BD7"/>
    <w:rsid w:val="00EE44D7"/>
    <w:rsid w:val="00EE62EA"/>
    <w:rsid w:val="00EE7AB0"/>
    <w:rsid w:val="00EF0268"/>
    <w:rsid w:val="00EF0494"/>
    <w:rsid w:val="00EF05D3"/>
    <w:rsid w:val="00EF1BFD"/>
    <w:rsid w:val="00EF29CB"/>
    <w:rsid w:val="00EF46E6"/>
    <w:rsid w:val="00EF599D"/>
    <w:rsid w:val="00EF640B"/>
    <w:rsid w:val="00EF6ACC"/>
    <w:rsid w:val="00EF710E"/>
    <w:rsid w:val="00EF763B"/>
    <w:rsid w:val="00EF76FE"/>
    <w:rsid w:val="00F014A1"/>
    <w:rsid w:val="00F01E3E"/>
    <w:rsid w:val="00F03952"/>
    <w:rsid w:val="00F03B19"/>
    <w:rsid w:val="00F049F6"/>
    <w:rsid w:val="00F04A8E"/>
    <w:rsid w:val="00F0566C"/>
    <w:rsid w:val="00F058E4"/>
    <w:rsid w:val="00F05E36"/>
    <w:rsid w:val="00F05FEF"/>
    <w:rsid w:val="00F101ED"/>
    <w:rsid w:val="00F10393"/>
    <w:rsid w:val="00F11332"/>
    <w:rsid w:val="00F124C8"/>
    <w:rsid w:val="00F126E2"/>
    <w:rsid w:val="00F12747"/>
    <w:rsid w:val="00F151F1"/>
    <w:rsid w:val="00F156CA"/>
    <w:rsid w:val="00F159B9"/>
    <w:rsid w:val="00F16E95"/>
    <w:rsid w:val="00F17B71"/>
    <w:rsid w:val="00F21761"/>
    <w:rsid w:val="00F218AC"/>
    <w:rsid w:val="00F219A7"/>
    <w:rsid w:val="00F21F68"/>
    <w:rsid w:val="00F223B0"/>
    <w:rsid w:val="00F22978"/>
    <w:rsid w:val="00F22EFF"/>
    <w:rsid w:val="00F23595"/>
    <w:rsid w:val="00F25AC1"/>
    <w:rsid w:val="00F25E84"/>
    <w:rsid w:val="00F26505"/>
    <w:rsid w:val="00F26BB1"/>
    <w:rsid w:val="00F27F3C"/>
    <w:rsid w:val="00F3117A"/>
    <w:rsid w:val="00F31416"/>
    <w:rsid w:val="00F318F9"/>
    <w:rsid w:val="00F34411"/>
    <w:rsid w:val="00F34BAA"/>
    <w:rsid w:val="00F34C9F"/>
    <w:rsid w:val="00F371BC"/>
    <w:rsid w:val="00F40F95"/>
    <w:rsid w:val="00F410C5"/>
    <w:rsid w:val="00F43631"/>
    <w:rsid w:val="00F43993"/>
    <w:rsid w:val="00F44780"/>
    <w:rsid w:val="00F44D80"/>
    <w:rsid w:val="00F46554"/>
    <w:rsid w:val="00F46A49"/>
    <w:rsid w:val="00F47ABF"/>
    <w:rsid w:val="00F50A6E"/>
    <w:rsid w:val="00F52141"/>
    <w:rsid w:val="00F53BE5"/>
    <w:rsid w:val="00F5472F"/>
    <w:rsid w:val="00F54F46"/>
    <w:rsid w:val="00F5525C"/>
    <w:rsid w:val="00F558F2"/>
    <w:rsid w:val="00F563A8"/>
    <w:rsid w:val="00F566A5"/>
    <w:rsid w:val="00F57917"/>
    <w:rsid w:val="00F600AD"/>
    <w:rsid w:val="00F6059C"/>
    <w:rsid w:val="00F60B3F"/>
    <w:rsid w:val="00F6174D"/>
    <w:rsid w:val="00F629B4"/>
    <w:rsid w:val="00F62D7E"/>
    <w:rsid w:val="00F62D90"/>
    <w:rsid w:val="00F644AC"/>
    <w:rsid w:val="00F651CA"/>
    <w:rsid w:val="00F660B5"/>
    <w:rsid w:val="00F66CEC"/>
    <w:rsid w:val="00F70B90"/>
    <w:rsid w:val="00F70E87"/>
    <w:rsid w:val="00F73650"/>
    <w:rsid w:val="00F74B0A"/>
    <w:rsid w:val="00F74E03"/>
    <w:rsid w:val="00F76A86"/>
    <w:rsid w:val="00F80161"/>
    <w:rsid w:val="00F8022A"/>
    <w:rsid w:val="00F81692"/>
    <w:rsid w:val="00F84664"/>
    <w:rsid w:val="00F85AD4"/>
    <w:rsid w:val="00F86B14"/>
    <w:rsid w:val="00F86CA1"/>
    <w:rsid w:val="00F9085C"/>
    <w:rsid w:val="00F9111B"/>
    <w:rsid w:val="00F911FC"/>
    <w:rsid w:val="00F91713"/>
    <w:rsid w:val="00F91CE9"/>
    <w:rsid w:val="00F91D40"/>
    <w:rsid w:val="00F9225B"/>
    <w:rsid w:val="00F947ED"/>
    <w:rsid w:val="00F950E3"/>
    <w:rsid w:val="00F95ACA"/>
    <w:rsid w:val="00F96EE0"/>
    <w:rsid w:val="00F976CD"/>
    <w:rsid w:val="00F97E21"/>
    <w:rsid w:val="00F97F28"/>
    <w:rsid w:val="00FA02BA"/>
    <w:rsid w:val="00FA0BF9"/>
    <w:rsid w:val="00FA20BB"/>
    <w:rsid w:val="00FA3301"/>
    <w:rsid w:val="00FA33A0"/>
    <w:rsid w:val="00FA6643"/>
    <w:rsid w:val="00FA6E0E"/>
    <w:rsid w:val="00FA7071"/>
    <w:rsid w:val="00FA7A8C"/>
    <w:rsid w:val="00FB052C"/>
    <w:rsid w:val="00FB1450"/>
    <w:rsid w:val="00FB218C"/>
    <w:rsid w:val="00FB2D28"/>
    <w:rsid w:val="00FB3535"/>
    <w:rsid w:val="00FB3B15"/>
    <w:rsid w:val="00FB5F63"/>
    <w:rsid w:val="00FB66AE"/>
    <w:rsid w:val="00FB6CD0"/>
    <w:rsid w:val="00FB6DBF"/>
    <w:rsid w:val="00FB6FC2"/>
    <w:rsid w:val="00FB77E2"/>
    <w:rsid w:val="00FB7E75"/>
    <w:rsid w:val="00FC20B6"/>
    <w:rsid w:val="00FC24E7"/>
    <w:rsid w:val="00FC41FB"/>
    <w:rsid w:val="00FC54DC"/>
    <w:rsid w:val="00FC5D5E"/>
    <w:rsid w:val="00FC5DB1"/>
    <w:rsid w:val="00FC63BE"/>
    <w:rsid w:val="00FC6976"/>
    <w:rsid w:val="00FD3EAC"/>
    <w:rsid w:val="00FD567B"/>
    <w:rsid w:val="00FD5DDD"/>
    <w:rsid w:val="00FD6463"/>
    <w:rsid w:val="00FD7EA5"/>
    <w:rsid w:val="00FE007E"/>
    <w:rsid w:val="00FE114E"/>
    <w:rsid w:val="00FE285F"/>
    <w:rsid w:val="00FE2D75"/>
    <w:rsid w:val="00FE3CDF"/>
    <w:rsid w:val="00FE4207"/>
    <w:rsid w:val="00FE5B9C"/>
    <w:rsid w:val="00FE6C1F"/>
    <w:rsid w:val="00FE7A6F"/>
    <w:rsid w:val="00FE7F65"/>
    <w:rsid w:val="00FF0D6B"/>
    <w:rsid w:val="00FF2B36"/>
    <w:rsid w:val="00FF33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GridTable4Accent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4C2E95"/>
    <w:rPr>
      <w:color w:val="800080"/>
      <w:u w:val="single"/>
    </w:rPr>
  </w:style>
  <w:style w:type="paragraph" w:customStyle="1" w:styleId="msonormal0">
    <w:name w:val="msonormal"/>
    <w:basedOn w:val="Normal"/>
    <w:rsid w:val="004C2E9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6">
    <w:name w:val="xl66"/>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D0D0D"/>
      <w:sz w:val="18"/>
      <w:szCs w:val="18"/>
      <w:lang w:eastAsia="es-CO"/>
    </w:rPr>
  </w:style>
  <w:style w:type="paragraph" w:customStyle="1" w:styleId="xl67">
    <w:name w:val="xl67"/>
    <w:basedOn w:val="Normal"/>
    <w:rsid w:val="004C2E95"/>
    <w:pPr>
      <w:spacing w:before="100" w:beforeAutospacing="1" w:after="100" w:afterAutospacing="1" w:line="240" w:lineRule="auto"/>
    </w:pPr>
    <w:rPr>
      <w:rFonts w:ascii="Times New Roman" w:eastAsia="Times New Roman" w:hAnsi="Times New Roman"/>
      <w:color w:val="0D0D0D"/>
      <w:sz w:val="24"/>
      <w:szCs w:val="24"/>
      <w:lang w:eastAsia="es-CO"/>
    </w:rPr>
  </w:style>
  <w:style w:type="paragraph" w:customStyle="1" w:styleId="xl68">
    <w:name w:val="xl68"/>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69">
    <w:name w:val="xl69"/>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0">
    <w:name w:val="xl70"/>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1">
    <w:name w:val="xl71"/>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2">
    <w:name w:val="xl72"/>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3">
    <w:name w:val="xl73"/>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4">
    <w:name w:val="xl74"/>
    <w:basedOn w:val="Normal"/>
    <w:rsid w:val="004C2E95"/>
    <w:pPr>
      <w:pBdr>
        <w:bottom w:val="single" w:sz="4" w:space="0" w:color="auto"/>
      </w:pBdr>
      <w:spacing w:before="100" w:beforeAutospacing="1" w:after="100" w:afterAutospacing="1" w:line="240" w:lineRule="auto"/>
      <w:jc w:val="center"/>
    </w:pPr>
    <w:rPr>
      <w:rFonts w:ascii="Times New Roman" w:eastAsia="Times New Roman" w:hAnsi="Times New Roman"/>
      <w:color w:val="0D0D0D"/>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GridTable4Accent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4C2E95"/>
    <w:rPr>
      <w:color w:val="800080"/>
      <w:u w:val="single"/>
    </w:rPr>
  </w:style>
  <w:style w:type="paragraph" w:customStyle="1" w:styleId="msonormal0">
    <w:name w:val="msonormal"/>
    <w:basedOn w:val="Normal"/>
    <w:rsid w:val="004C2E9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6">
    <w:name w:val="xl66"/>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D0D0D"/>
      <w:sz w:val="18"/>
      <w:szCs w:val="18"/>
      <w:lang w:eastAsia="es-CO"/>
    </w:rPr>
  </w:style>
  <w:style w:type="paragraph" w:customStyle="1" w:styleId="xl67">
    <w:name w:val="xl67"/>
    <w:basedOn w:val="Normal"/>
    <w:rsid w:val="004C2E95"/>
    <w:pPr>
      <w:spacing w:before="100" w:beforeAutospacing="1" w:after="100" w:afterAutospacing="1" w:line="240" w:lineRule="auto"/>
    </w:pPr>
    <w:rPr>
      <w:rFonts w:ascii="Times New Roman" w:eastAsia="Times New Roman" w:hAnsi="Times New Roman"/>
      <w:color w:val="0D0D0D"/>
      <w:sz w:val="24"/>
      <w:szCs w:val="24"/>
      <w:lang w:eastAsia="es-CO"/>
    </w:rPr>
  </w:style>
  <w:style w:type="paragraph" w:customStyle="1" w:styleId="xl68">
    <w:name w:val="xl68"/>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69">
    <w:name w:val="xl69"/>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0">
    <w:name w:val="xl70"/>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1">
    <w:name w:val="xl71"/>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2">
    <w:name w:val="xl72"/>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3">
    <w:name w:val="xl73"/>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4">
    <w:name w:val="xl74"/>
    <w:basedOn w:val="Normal"/>
    <w:rsid w:val="004C2E95"/>
    <w:pPr>
      <w:pBdr>
        <w:bottom w:val="single" w:sz="4" w:space="0" w:color="auto"/>
      </w:pBdr>
      <w:spacing w:before="100" w:beforeAutospacing="1" w:after="100" w:afterAutospacing="1" w:line="240" w:lineRule="auto"/>
      <w:jc w:val="center"/>
    </w:pPr>
    <w:rPr>
      <w:rFonts w:ascii="Times New Roman" w:eastAsia="Times New Roman" w:hAnsi="Times New Roman"/>
      <w:color w:val="0D0D0D"/>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779447303">
      <w:bodyDiv w:val="1"/>
      <w:marLeft w:val="0"/>
      <w:marRight w:val="0"/>
      <w:marTop w:val="0"/>
      <w:marBottom w:val="0"/>
      <w:divBdr>
        <w:top w:val="none" w:sz="0" w:space="0" w:color="auto"/>
        <w:left w:val="none" w:sz="0" w:space="0" w:color="auto"/>
        <w:bottom w:val="none" w:sz="0" w:space="0" w:color="auto"/>
        <w:right w:val="none" w:sz="0" w:space="0" w:color="auto"/>
      </w:divBdr>
    </w:div>
    <w:div w:id="793862367">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7304628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71341133">
      <w:bodyDiv w:val="1"/>
      <w:marLeft w:val="0"/>
      <w:marRight w:val="0"/>
      <w:marTop w:val="0"/>
      <w:marBottom w:val="0"/>
      <w:divBdr>
        <w:top w:val="none" w:sz="0" w:space="0" w:color="auto"/>
        <w:left w:val="none" w:sz="0" w:space="0" w:color="auto"/>
        <w:bottom w:val="none" w:sz="0" w:space="0" w:color="auto"/>
        <w:right w:val="none" w:sz="0" w:space="0" w:color="auto"/>
      </w:divBdr>
    </w:div>
    <w:div w:id="1793791088">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007122700">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Unidades%20compartidas\TEAM-DGC.CID_2019\Servicio%20Al%20Ciudadano%20Documentos%202019\Informes%20SAC%202019\Copia%20de%20CONSOLIDADO%20PQRS%20CONSOLIDADO%202019%20v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95000"/>
                    <a:lumOff val="5000"/>
                  </a:schemeClr>
                </a:solidFill>
                <a:latin typeface="+mn-lt"/>
                <a:ea typeface="+mn-ea"/>
                <a:cs typeface="+mn-cs"/>
              </a:defRPr>
            </a:pPr>
            <a:r>
              <a:rPr lang="es-CO" sz="1600" b="1" i="0" u="none" strike="noStrike" baseline="0">
                <a:solidFill>
                  <a:schemeClr val="tx1">
                    <a:lumMod val="95000"/>
                    <a:lumOff val="5000"/>
                  </a:schemeClr>
                </a:solidFill>
                <a:effectLst/>
              </a:rPr>
              <a:t>Grafica No.1 - PQRSD Recibidas 1er Semestre 2019</a:t>
            </a:r>
            <a:endParaRPr lang="es-CO" sz="1600">
              <a:solidFill>
                <a:schemeClr val="tx1">
                  <a:lumMod val="95000"/>
                  <a:lumOff val="5000"/>
                </a:schemeClr>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0.38799571275455519"/>
                  <c:y val="-7.035175879396979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26-4B39-9465-25737A113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AnalixTipolo!$AC$2</c:f>
              <c:strCache>
                <c:ptCount val="1"/>
                <c:pt idx="0">
                  <c:v>TOTAL</c:v>
                </c:pt>
              </c:strCache>
            </c:strRef>
          </c:cat>
          <c:val>
            <c:numRef>
              <c:f>AnalixTipolo!$AC$13</c:f>
              <c:numCache>
                <c:formatCode>General</c:formatCode>
                <c:ptCount val="1"/>
                <c:pt idx="0">
                  <c:v>2187</c:v>
                </c:pt>
              </c:numCache>
            </c:numRef>
          </c:val>
          <c:extLst xmlns:c16r2="http://schemas.microsoft.com/office/drawing/2015/06/chart">
            <c:ext xmlns:c16="http://schemas.microsoft.com/office/drawing/2014/chart" uri="{C3380CC4-5D6E-409C-BE32-E72D297353CC}">
              <c16:uniqueId val="{00000000-8B26-4B39-9465-25737A113A7E}"/>
            </c:ext>
          </c:extLst>
        </c:ser>
        <c:dLbls>
          <c:showLegendKey val="0"/>
          <c:showVal val="0"/>
          <c:showCatName val="0"/>
          <c:showSerName val="0"/>
          <c:showPercent val="0"/>
          <c:showBubbleSize val="0"/>
        </c:dLbls>
        <c:gapWidth val="55"/>
        <c:gapDepth val="55"/>
        <c:shape val="box"/>
        <c:axId val="81108480"/>
        <c:axId val="156231360"/>
        <c:axId val="0"/>
      </c:bar3DChart>
      <c:catAx>
        <c:axId val="81108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56231360"/>
        <c:crosses val="autoZero"/>
        <c:auto val="1"/>
        <c:lblAlgn val="ctr"/>
        <c:lblOffset val="100"/>
        <c:noMultiLvlLbl val="0"/>
      </c:catAx>
      <c:valAx>
        <c:axId val="156231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81108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r>
              <a:rPr lang="es-CO" sz="1400" b="1">
                <a:solidFill>
                  <a:schemeClr val="tx1"/>
                </a:solidFill>
              </a:rPr>
              <a:t>Grafica No. 2 - PQRSD Solucionar</a:t>
            </a:r>
            <a:r>
              <a:rPr lang="en-US" sz="1400" b="1">
                <a:solidFill>
                  <a:schemeClr val="tx1"/>
                </a:solidFill>
              </a:rPr>
              <a:t> </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514820201614924E-2"/>
          <c:y val="0.15746992285862743"/>
          <c:w val="0.91414547703830018"/>
          <c:h val="0.67884141385880059"/>
        </c:manualLayout>
      </c:layout>
      <c:pie3DChart>
        <c:varyColors val="1"/>
        <c:ser>
          <c:idx val="0"/>
          <c:order val="0"/>
          <c:tx>
            <c:strRef>
              <c:f>Hoja1!$L$23</c:f>
              <c:strCache>
                <c:ptCount val="1"/>
                <c:pt idx="0">
                  <c:v>PQRSD Solucionar </c:v>
                </c:pt>
              </c:strCache>
            </c:strRef>
          </c:tx>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CE-4B64-A1AF-01F549B17535}"/>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CE-4B64-A1AF-01F549B17535}"/>
              </c:ext>
            </c:extLst>
          </c:dPt>
          <c:dLbls>
            <c:dLbl>
              <c:idx val="0"/>
              <c:tx>
                <c:rich>
                  <a:bodyPr/>
                  <a:lstStyle/>
                  <a:p>
                    <a:r>
                      <a:rPr lang="en-US"/>
                      <a:t>27,57%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CE-4B64-A1AF-01F549B17535}"/>
                </c:ext>
              </c:extLst>
            </c:dLbl>
            <c:dLbl>
              <c:idx val="1"/>
              <c:tx>
                <c:rich>
                  <a:bodyPr/>
                  <a:lstStyle/>
                  <a:p>
                    <a:r>
                      <a:rPr lang="en-US"/>
                      <a:t>72,43%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CE-4B64-A1AF-01F549B17535}"/>
                </c:ext>
              </c:extLst>
            </c:dLbl>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Hoja1!$K$24:$K$25</c:f>
              <c:strCache>
                <c:ptCount val="2"/>
                <c:pt idx="0">
                  <c:v>Mismo Mes</c:v>
                </c:pt>
                <c:pt idx="1">
                  <c:v>Siguente(s) Mes(es)</c:v>
                </c:pt>
              </c:strCache>
            </c:strRef>
          </c:cat>
          <c:val>
            <c:numRef>
              <c:f>Hoja1!$L$24:$L$25</c:f>
              <c:numCache>
                <c:formatCode>#,##0</c:formatCode>
                <c:ptCount val="2"/>
                <c:pt idx="0" formatCode="General">
                  <c:v>603</c:v>
                </c:pt>
                <c:pt idx="1">
                  <c:v>1584</c:v>
                </c:pt>
              </c:numCache>
            </c:numRef>
          </c:val>
          <c:extLst xmlns:c16r2="http://schemas.microsoft.com/office/drawing/2015/06/chart">
            <c:ext xmlns:c16="http://schemas.microsoft.com/office/drawing/2014/chart" uri="{C3380CC4-5D6E-409C-BE32-E72D297353CC}">
              <c16:uniqueId val="{00000004-1DCE-4B64-A1AF-01F549B17535}"/>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0.26550428807863985"/>
          <c:y val="0.8896992563429571"/>
          <c:w val="0.47224802313723524"/>
          <c:h val="6.881442376521115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chemeClr val="tx1">
                    <a:lumMod val="95000"/>
                    <a:lumOff val="5000"/>
                  </a:schemeClr>
                </a:solidFill>
                <a:effectLst/>
              </a:rPr>
              <a:t>Grafica No. 3 - PQRSD por Canales de Interacción </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Canales!$Z$17</c:f>
              <c:strCache>
                <c:ptCount val="1"/>
                <c:pt idx="0">
                  <c:v>ESCRITO</c:v>
                </c:pt>
              </c:strCache>
            </c:strRef>
          </c:tx>
          <c:spPr>
            <a:solidFill>
              <a:schemeClr val="accent1">
                <a:shade val="53000"/>
              </a:schemeClr>
            </a:solidFill>
            <a:ln>
              <a:noFill/>
            </a:ln>
            <a:effectLst/>
            <a:sp3d/>
          </c:spPr>
          <c:invertIfNegative val="0"/>
          <c:dLbls>
            <c:dLbl>
              <c:idx val="0"/>
              <c:layout>
                <c:manualLayout>
                  <c:x val="0.12258064516129032"/>
                  <c:y val="-0.1940700808625336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EE4-418F-A1AC-84ABC957CD7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Canales!$AA$16</c:f>
              <c:strCache>
                <c:ptCount val="1"/>
                <c:pt idx="0">
                  <c:v>CANTIDAD</c:v>
                </c:pt>
              </c:strCache>
            </c:strRef>
          </c:cat>
          <c:val>
            <c:numRef>
              <c:f>Canales!$AA$17</c:f>
              <c:numCache>
                <c:formatCode>General</c:formatCode>
                <c:ptCount val="1"/>
                <c:pt idx="0">
                  <c:v>1964</c:v>
                </c:pt>
              </c:numCache>
            </c:numRef>
          </c:val>
          <c:extLst xmlns:c16r2="http://schemas.microsoft.com/office/drawing/2015/06/chart">
            <c:ext xmlns:c16="http://schemas.microsoft.com/office/drawing/2014/chart" uri="{C3380CC4-5D6E-409C-BE32-E72D297353CC}">
              <c16:uniqueId val="{00000000-DEE4-418F-A1AC-84ABC957CD7E}"/>
            </c:ext>
          </c:extLst>
        </c:ser>
        <c:ser>
          <c:idx val="1"/>
          <c:order val="1"/>
          <c:tx>
            <c:strRef>
              <c:f>Canales!$Z$18</c:f>
              <c:strCache>
                <c:ptCount val="1"/>
                <c:pt idx="0">
                  <c:v>WEB</c:v>
                </c:pt>
              </c:strCache>
            </c:strRef>
          </c:tx>
          <c:spPr>
            <a:solidFill>
              <a:schemeClr val="accent1">
                <a:shade val="76000"/>
              </a:schemeClr>
            </a:solidFill>
            <a:ln>
              <a:noFill/>
            </a:ln>
            <a:effectLst/>
            <a:sp3d/>
          </c:spPr>
          <c:invertIfNegative val="0"/>
          <c:dLbls>
            <c:dLbl>
              <c:idx val="0"/>
              <c:layout>
                <c:manualLayout>
                  <c:x val="0.13548387096774187"/>
                  <c:y val="-0.190476190476190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EE4-418F-A1AC-84ABC957CD7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Canales!$AA$16</c:f>
              <c:strCache>
                <c:ptCount val="1"/>
                <c:pt idx="0">
                  <c:v>CANTIDAD</c:v>
                </c:pt>
              </c:strCache>
            </c:strRef>
          </c:cat>
          <c:val>
            <c:numRef>
              <c:f>Canales!$AA$18</c:f>
              <c:numCache>
                <c:formatCode>General</c:formatCode>
                <c:ptCount val="1"/>
                <c:pt idx="0">
                  <c:v>88</c:v>
                </c:pt>
              </c:numCache>
            </c:numRef>
          </c:val>
          <c:extLst xmlns:c16r2="http://schemas.microsoft.com/office/drawing/2015/06/chart">
            <c:ext xmlns:c16="http://schemas.microsoft.com/office/drawing/2014/chart" uri="{C3380CC4-5D6E-409C-BE32-E72D297353CC}">
              <c16:uniqueId val="{00000001-DEE4-418F-A1AC-84ABC957CD7E}"/>
            </c:ext>
          </c:extLst>
        </c:ser>
        <c:ser>
          <c:idx val="2"/>
          <c:order val="2"/>
          <c:tx>
            <c:strRef>
              <c:f>Canales!$Z$19</c:f>
              <c:strCache>
                <c:ptCount val="1"/>
                <c:pt idx="0">
                  <c:v>E-MAIL</c:v>
                </c:pt>
              </c:strCache>
            </c:strRef>
          </c:tx>
          <c:spPr>
            <a:solidFill>
              <a:schemeClr val="accent1"/>
            </a:solidFill>
            <a:ln>
              <a:noFill/>
            </a:ln>
            <a:effectLst/>
            <a:sp3d/>
          </c:spPr>
          <c:invertIfNegative val="0"/>
          <c:dLbls>
            <c:dLbl>
              <c:idx val="0"/>
              <c:layout>
                <c:manualLayout>
                  <c:x val="6.6666666666666582E-2"/>
                  <c:y val="-0.1940700808625336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EE4-418F-A1AC-84ABC957CD7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Canales!$AA$16</c:f>
              <c:strCache>
                <c:ptCount val="1"/>
                <c:pt idx="0">
                  <c:v>CANTIDAD</c:v>
                </c:pt>
              </c:strCache>
            </c:strRef>
          </c:cat>
          <c:val>
            <c:numRef>
              <c:f>Canales!$AA$19</c:f>
              <c:numCache>
                <c:formatCode>General</c:formatCode>
                <c:ptCount val="1"/>
                <c:pt idx="0">
                  <c:v>83</c:v>
                </c:pt>
              </c:numCache>
            </c:numRef>
          </c:val>
          <c:extLst xmlns:c16r2="http://schemas.microsoft.com/office/drawing/2015/06/chart">
            <c:ext xmlns:c16="http://schemas.microsoft.com/office/drawing/2014/chart" uri="{C3380CC4-5D6E-409C-BE32-E72D297353CC}">
              <c16:uniqueId val="{00000002-DEE4-418F-A1AC-84ABC957CD7E}"/>
            </c:ext>
          </c:extLst>
        </c:ser>
        <c:ser>
          <c:idx val="3"/>
          <c:order val="3"/>
          <c:tx>
            <c:strRef>
              <c:f>Canales!$Z$20</c:f>
              <c:strCache>
                <c:ptCount val="1"/>
                <c:pt idx="0">
                  <c:v>PRESENCIAL</c:v>
                </c:pt>
              </c:strCache>
            </c:strRef>
          </c:tx>
          <c:spPr>
            <a:solidFill>
              <a:schemeClr val="accent1">
                <a:tint val="77000"/>
              </a:schemeClr>
            </a:solidFill>
            <a:ln>
              <a:noFill/>
            </a:ln>
            <a:effectLst/>
            <a:sp3d/>
          </c:spPr>
          <c:invertIfNegative val="0"/>
          <c:dLbls>
            <c:dLbl>
              <c:idx val="0"/>
              <c:layout>
                <c:manualLayout>
                  <c:x val="3.8709677419354681E-2"/>
                  <c:y val="-0.1940700808625336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EE4-418F-A1AC-84ABC957CD7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Canales!$AA$16</c:f>
              <c:strCache>
                <c:ptCount val="1"/>
                <c:pt idx="0">
                  <c:v>CANTIDAD</c:v>
                </c:pt>
              </c:strCache>
            </c:strRef>
          </c:cat>
          <c:val>
            <c:numRef>
              <c:f>Canales!$AA$20</c:f>
              <c:numCache>
                <c:formatCode>General</c:formatCode>
                <c:ptCount val="1"/>
                <c:pt idx="0">
                  <c:v>48</c:v>
                </c:pt>
              </c:numCache>
            </c:numRef>
          </c:val>
          <c:extLst xmlns:c16r2="http://schemas.microsoft.com/office/drawing/2015/06/chart">
            <c:ext xmlns:c16="http://schemas.microsoft.com/office/drawing/2014/chart" uri="{C3380CC4-5D6E-409C-BE32-E72D297353CC}">
              <c16:uniqueId val="{00000003-DEE4-418F-A1AC-84ABC957CD7E}"/>
            </c:ext>
          </c:extLst>
        </c:ser>
        <c:ser>
          <c:idx val="4"/>
          <c:order val="4"/>
          <c:tx>
            <c:strRef>
              <c:f>Canales!$Z$21</c:f>
              <c:strCache>
                <c:ptCount val="1"/>
                <c:pt idx="0">
                  <c:v>TELEFONO</c:v>
                </c:pt>
              </c:strCache>
            </c:strRef>
          </c:tx>
          <c:spPr>
            <a:solidFill>
              <a:schemeClr val="accent1">
                <a:tint val="54000"/>
              </a:schemeClr>
            </a:solidFill>
            <a:ln>
              <a:noFill/>
            </a:ln>
            <a:effectLst/>
            <a:sp3d/>
          </c:spPr>
          <c:invertIfNegative val="0"/>
          <c:dLbls>
            <c:dLbl>
              <c:idx val="0"/>
              <c:layout>
                <c:manualLayout>
                  <c:x val="9.2473118279569888E-2"/>
                  <c:y val="-0.1940700808625336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E4-418F-A1AC-84ABC957CD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Canales!$AA$16</c:f>
              <c:strCache>
                <c:ptCount val="1"/>
                <c:pt idx="0">
                  <c:v>CANTIDAD</c:v>
                </c:pt>
              </c:strCache>
            </c:strRef>
          </c:cat>
          <c:val>
            <c:numRef>
              <c:f>Canales!$AA$21</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4-DEE4-418F-A1AC-84ABC957CD7E}"/>
            </c:ext>
          </c:extLst>
        </c:ser>
        <c:dLbls>
          <c:showLegendKey val="0"/>
          <c:showVal val="0"/>
          <c:showCatName val="0"/>
          <c:showSerName val="0"/>
          <c:showPercent val="0"/>
          <c:showBubbleSize val="0"/>
        </c:dLbls>
        <c:gapWidth val="150"/>
        <c:shape val="box"/>
        <c:axId val="81132544"/>
        <c:axId val="156234240"/>
        <c:axId val="0"/>
      </c:bar3DChart>
      <c:catAx>
        <c:axId val="81132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s-CO"/>
          </a:p>
        </c:txPr>
        <c:crossAx val="156234240"/>
        <c:crosses val="autoZero"/>
        <c:auto val="1"/>
        <c:lblAlgn val="ctr"/>
        <c:lblOffset val="100"/>
        <c:noMultiLvlLbl val="0"/>
      </c:catAx>
      <c:valAx>
        <c:axId val="15623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11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3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44712772147501E-2"/>
          <c:y val="0.20639147991116494"/>
          <c:w val="0.82821668822497663"/>
          <c:h val="0.74673493066585561"/>
        </c:manualLayout>
      </c:layout>
      <c:pie3DChart>
        <c:varyColors val="1"/>
        <c:ser>
          <c:idx val="0"/>
          <c:order val="0"/>
          <c:tx>
            <c:strRef>
              <c:f>Hoja1!$G$8</c:f>
              <c:strCache>
                <c:ptCount val="1"/>
                <c:pt idx="0">
                  <c:v>Cantidad</c:v>
                </c:pt>
              </c:strCache>
            </c:strRef>
          </c:tx>
          <c:dPt>
            <c:idx val="0"/>
            <c:bubble3D val="0"/>
            <c:explosion val="4"/>
            <c:spPr>
              <a:solidFill>
                <a:schemeClr val="accent1">
                  <a:shade val="42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A5F-4D09-A7B5-3DB335CEF559}"/>
              </c:ext>
            </c:extLst>
          </c:dPt>
          <c:dPt>
            <c:idx val="1"/>
            <c:bubble3D val="0"/>
            <c:spPr>
              <a:solidFill>
                <a:schemeClr val="accent1">
                  <a:shade val="5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A5F-4D09-A7B5-3DB335CEF559}"/>
              </c:ext>
            </c:extLst>
          </c:dPt>
          <c:dPt>
            <c:idx val="2"/>
            <c:bubble3D val="0"/>
            <c:spPr>
              <a:solidFill>
                <a:schemeClr val="accent1">
                  <a:shade val="6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A5F-4D09-A7B5-3DB335CEF559}"/>
              </c:ext>
            </c:extLst>
          </c:dPt>
          <c:dPt>
            <c:idx val="3"/>
            <c:bubble3D val="0"/>
            <c:spPr>
              <a:solidFill>
                <a:schemeClr val="accent1">
                  <a:shade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A5F-4D09-A7B5-3DB335CEF559}"/>
              </c:ext>
            </c:extLst>
          </c:dPt>
          <c:dPt>
            <c:idx val="4"/>
            <c:bubble3D val="0"/>
            <c:spPr>
              <a:solidFill>
                <a:schemeClr val="accent1">
                  <a:shade val="93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A5F-4D09-A7B5-3DB335CEF559}"/>
              </c:ext>
            </c:extLst>
          </c:dPt>
          <c:dPt>
            <c:idx val="5"/>
            <c:bubble3D val="0"/>
            <c:spPr>
              <a:solidFill>
                <a:schemeClr val="accent1">
                  <a:tint val="94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A5F-4D09-A7B5-3DB335CEF559}"/>
              </c:ext>
            </c:extLst>
          </c:dPt>
          <c:dPt>
            <c:idx val="6"/>
            <c:bubble3D val="0"/>
            <c:spPr>
              <a:solidFill>
                <a:schemeClr val="accent1">
                  <a:tint val="81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6A5F-4D09-A7B5-3DB335CEF559}"/>
              </c:ext>
            </c:extLst>
          </c:dPt>
          <c:dPt>
            <c:idx val="7"/>
            <c:bubble3D val="0"/>
            <c:spPr>
              <a:solidFill>
                <a:schemeClr val="accent1">
                  <a:tint val="69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6A5F-4D09-A7B5-3DB335CEF559}"/>
              </c:ext>
            </c:extLst>
          </c:dPt>
          <c:dPt>
            <c:idx val="8"/>
            <c:bubble3D val="0"/>
            <c:spPr>
              <a:solidFill>
                <a:schemeClr val="accent1">
                  <a:tint val="5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6A5F-4D09-A7B5-3DB335CEF559}"/>
              </c:ext>
            </c:extLst>
          </c:dPt>
          <c:dPt>
            <c:idx val="9"/>
            <c:bubble3D val="0"/>
            <c:spPr>
              <a:solidFill>
                <a:schemeClr val="accent1">
                  <a:tint val="43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6A5F-4D09-A7B5-3DB335CEF559}"/>
              </c:ext>
            </c:extLst>
          </c:dPt>
          <c:dLbls>
            <c:dLbl>
              <c:idx val="0"/>
              <c:layout>
                <c:manualLayout>
                  <c:x val="-3.5587369760598106E-2"/>
                  <c:y val="-0.2895062528948588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5F-4D09-A7B5-3DB335CEF559}"/>
                </c:ext>
              </c:extLst>
            </c:dLbl>
            <c:dLbl>
              <c:idx val="1"/>
              <c:layout>
                <c:manualLayout>
                  <c:x val="-3.465688798469569E-2"/>
                  <c:y val="7.8694869023724981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5F-4D09-A7B5-3DB335CEF559}"/>
                </c:ext>
              </c:extLst>
            </c:dLbl>
            <c:dLbl>
              <c:idx val="2"/>
              <c:layout>
                <c:manualLayout>
                  <c:x val="2.8493388087254642E-2"/>
                  <c:y val="-1.707292470794091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A5F-4D09-A7B5-3DB335CEF559}"/>
                </c:ext>
              </c:extLst>
            </c:dLbl>
            <c:dLbl>
              <c:idx val="6"/>
              <c:layout>
                <c:manualLayout>
                  <c:x val="1.5617090925835228E-2"/>
                  <c:y val="-0.190513022410660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A5F-4D09-A7B5-3DB335CEF559}"/>
                </c:ext>
              </c:extLst>
            </c:dLbl>
            <c:dLbl>
              <c:idx val="9"/>
              <c:layout>
                <c:manualLayout>
                  <c:x val="0.10578825972112338"/>
                  <c:y val="4.504256764858707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A5F-4D09-A7B5-3DB335CEF5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Hoja1!$F$9:$F$18</c:f>
              <c:strCache>
                <c:ptCount val="10"/>
                <c:pt idx="0">
                  <c:v>DERECHO DE PETICION DE INTERES PARTICULAR</c:v>
                </c:pt>
                <c:pt idx="1">
                  <c:v>DERECHO DE PETICION DE INTERES GENERAL</c:v>
                </c:pt>
                <c:pt idx="2">
                  <c:v>SOLICITUD DE COPIA</c:v>
                </c:pt>
                <c:pt idx="3">
                  <c:v>SOLICITUD DE ACCESO A LA INFORMACION</c:v>
                </c:pt>
                <c:pt idx="4">
                  <c:v>CONSULTA</c:v>
                </c:pt>
                <c:pt idx="5">
                  <c:v>QUEJA</c:v>
                </c:pt>
                <c:pt idx="6">
                  <c:v>RECLAMO</c:v>
                </c:pt>
                <c:pt idx="7">
                  <c:v>DENUNCIA POR ACTOS DE CORRUPCION</c:v>
                </c:pt>
                <c:pt idx="8">
                  <c:v>FELICITACION</c:v>
                </c:pt>
                <c:pt idx="9">
                  <c:v>SUGERENCIA</c:v>
                </c:pt>
              </c:strCache>
            </c:strRef>
          </c:cat>
          <c:val>
            <c:numRef>
              <c:f>Hoja1!$G$9:$G$18</c:f>
              <c:numCache>
                <c:formatCode>General</c:formatCode>
                <c:ptCount val="10"/>
                <c:pt idx="0">
                  <c:v>1702</c:v>
                </c:pt>
                <c:pt idx="1">
                  <c:v>160</c:v>
                </c:pt>
                <c:pt idx="2">
                  <c:v>140</c:v>
                </c:pt>
                <c:pt idx="3">
                  <c:v>96</c:v>
                </c:pt>
                <c:pt idx="4">
                  <c:v>36</c:v>
                </c:pt>
                <c:pt idx="5">
                  <c:v>30</c:v>
                </c:pt>
                <c:pt idx="6">
                  <c:v>14</c:v>
                </c:pt>
                <c:pt idx="7">
                  <c:v>7</c:v>
                </c:pt>
                <c:pt idx="8">
                  <c:v>1</c:v>
                </c:pt>
                <c:pt idx="9">
                  <c:v>1</c:v>
                </c:pt>
              </c:numCache>
            </c:numRef>
          </c:val>
          <c:extLst xmlns:c16r2="http://schemas.microsoft.com/office/drawing/2015/06/chart">
            <c:ext xmlns:c16="http://schemas.microsoft.com/office/drawing/2014/chart" uri="{C3380CC4-5D6E-409C-BE32-E72D297353CC}">
              <c16:uniqueId val="{00000014-6A5F-4D09-A7B5-3DB335CEF55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5 - PQRSD por Localidad</a:t>
            </a:r>
            <a:endParaRPr lang="es-CO">
              <a:solidFill>
                <a:schemeClr val="tx1">
                  <a:lumMod val="95000"/>
                  <a:lumOff val="5000"/>
                </a:schemeClr>
              </a:solidFil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Localidad!$B$2:$B$23</c:f>
            </c:numRef>
          </c:val>
          <c:extLst xmlns:c16r2="http://schemas.microsoft.com/office/drawing/2015/06/chart">
            <c:ext xmlns:c16="http://schemas.microsoft.com/office/drawing/2014/chart" uri="{C3380CC4-5D6E-409C-BE32-E72D297353CC}">
              <c16:uniqueId val="{00000000-4591-40C7-87E9-6C1ACFD3F736}"/>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Localidad!$C$2:$C$23</c:f>
            </c:numRef>
          </c:val>
          <c:extLst xmlns:c16r2="http://schemas.microsoft.com/office/drawing/2015/06/chart">
            <c:ext xmlns:c16="http://schemas.microsoft.com/office/drawing/2014/chart" uri="{C3380CC4-5D6E-409C-BE32-E72D297353CC}">
              <c16:uniqueId val="{00000001-4591-40C7-87E9-6C1ACFD3F736}"/>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Localidad!$D$2:$D$23</c:f>
            </c:numRef>
          </c:val>
          <c:extLst xmlns:c16r2="http://schemas.microsoft.com/office/drawing/2015/06/chart">
            <c:ext xmlns:c16="http://schemas.microsoft.com/office/drawing/2014/chart" uri="{C3380CC4-5D6E-409C-BE32-E72D297353CC}">
              <c16:uniqueId val="{00000002-4591-40C7-87E9-6C1ACFD3F736}"/>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Localidad!$E$2:$E$23</c:f>
            </c:numRef>
          </c:val>
          <c:extLst xmlns:c16r2="http://schemas.microsoft.com/office/drawing/2015/06/chart">
            <c:ext xmlns:c16="http://schemas.microsoft.com/office/drawing/2014/chart" uri="{C3380CC4-5D6E-409C-BE32-E72D297353CC}">
              <c16:uniqueId val="{00000003-4591-40C7-87E9-6C1ACFD3F736}"/>
            </c:ext>
          </c:extLst>
        </c:ser>
        <c:ser>
          <c:idx val="4"/>
          <c:order val="4"/>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Localidad!$F$2:$F$23</c:f>
            </c:numRef>
          </c:val>
          <c:extLst xmlns:c16r2="http://schemas.microsoft.com/office/drawing/2015/06/chart">
            <c:ext xmlns:c16="http://schemas.microsoft.com/office/drawing/2014/chart" uri="{C3380CC4-5D6E-409C-BE32-E72D297353CC}">
              <c16:uniqueId val="{00000004-4591-40C7-87E9-6C1ACFD3F736}"/>
            </c:ext>
          </c:extLst>
        </c:ser>
        <c:ser>
          <c:idx val="5"/>
          <c:order val="5"/>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Localidad!$G$2:$G$23</c:f>
            </c:numRef>
          </c:val>
          <c:extLst xmlns:c16r2="http://schemas.microsoft.com/office/drawing/2015/06/chart">
            <c:ext xmlns:c16="http://schemas.microsoft.com/office/drawing/2014/chart" uri="{C3380CC4-5D6E-409C-BE32-E72D297353CC}">
              <c16:uniqueId val="{00000005-4591-40C7-87E9-6C1ACFD3F736}"/>
            </c:ext>
          </c:extLst>
        </c:ser>
        <c:ser>
          <c:idx val="6"/>
          <c:order val="6"/>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Localidad!$H$2:$H$23</c:f>
            </c:numRef>
          </c:val>
          <c:extLst xmlns:c16r2="http://schemas.microsoft.com/office/drawing/2015/06/chart">
            <c:ext xmlns:c16="http://schemas.microsoft.com/office/drawing/2014/chart" uri="{C3380CC4-5D6E-409C-BE32-E72D297353CC}">
              <c16:uniqueId val="{00000006-4591-40C7-87E9-6C1ACFD3F736}"/>
            </c:ext>
          </c:extLst>
        </c:ser>
        <c:ser>
          <c:idx val="7"/>
          <c:order val="7"/>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Localidad!$I$2:$I$23</c:f>
            </c:numRef>
          </c:val>
          <c:extLst xmlns:c16r2="http://schemas.microsoft.com/office/drawing/2015/06/chart">
            <c:ext xmlns:c16="http://schemas.microsoft.com/office/drawing/2014/chart" uri="{C3380CC4-5D6E-409C-BE32-E72D297353CC}">
              <c16:uniqueId val="{00000007-4591-40C7-87E9-6C1ACFD3F736}"/>
            </c:ext>
          </c:extLst>
        </c:ser>
        <c:ser>
          <c:idx val="8"/>
          <c:order val="8"/>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Localidad!$J$2:$J$23</c:f>
            </c:numRef>
          </c:val>
          <c:extLst xmlns:c16r2="http://schemas.microsoft.com/office/drawing/2015/06/chart">
            <c:ext xmlns:c16="http://schemas.microsoft.com/office/drawing/2014/chart" uri="{C3380CC4-5D6E-409C-BE32-E72D297353CC}">
              <c16:uniqueId val="{00000008-4591-40C7-87E9-6C1ACFD3F736}"/>
            </c:ext>
          </c:extLst>
        </c:ser>
        <c:ser>
          <c:idx val="9"/>
          <c:order val="9"/>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Localidad!$K$2:$K$23</c:f>
            </c:numRef>
          </c:val>
          <c:extLst xmlns:c16r2="http://schemas.microsoft.com/office/drawing/2015/06/chart">
            <c:ext xmlns:c16="http://schemas.microsoft.com/office/drawing/2014/chart" uri="{C3380CC4-5D6E-409C-BE32-E72D297353CC}">
              <c16:uniqueId val="{00000009-4591-40C7-87E9-6C1ACFD3F736}"/>
            </c:ext>
          </c:extLst>
        </c:ser>
        <c:ser>
          <c:idx val="10"/>
          <c:order val="10"/>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Localidad!$L$2:$L$23</c:f>
            </c:numRef>
          </c:val>
          <c:extLst xmlns:c16r2="http://schemas.microsoft.com/office/drawing/2015/06/chart">
            <c:ext xmlns:c16="http://schemas.microsoft.com/office/drawing/2014/chart" uri="{C3380CC4-5D6E-409C-BE32-E72D297353CC}">
              <c16:uniqueId val="{0000000A-4591-40C7-87E9-6C1ACFD3F736}"/>
            </c:ext>
          </c:extLst>
        </c:ser>
        <c:ser>
          <c:idx val="11"/>
          <c:order val="11"/>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Localidad!$M$2:$M$23</c:f>
            </c:numRef>
          </c:val>
          <c:extLst xmlns:c16r2="http://schemas.microsoft.com/office/drawing/2015/06/chart">
            <c:ext xmlns:c16="http://schemas.microsoft.com/office/drawing/2014/chart" uri="{C3380CC4-5D6E-409C-BE32-E72D297353CC}">
              <c16:uniqueId val="{0000000B-4591-40C7-87E9-6C1ACFD3F736}"/>
            </c:ext>
          </c:extLst>
        </c:ser>
        <c:ser>
          <c:idx val="12"/>
          <c:order val="12"/>
          <c:spPr>
            <a:solidFill>
              <a:schemeClr val="accent1">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Localidad!$A$2:$A$23</c:f>
              <c:strCache>
                <c:ptCount val="22"/>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pt idx="21">
                  <c:v>TOTAL</c:v>
                </c:pt>
              </c:strCache>
            </c:strRef>
          </c:cat>
          <c:val>
            <c:numRef>
              <c:f>Localidad!$N$2:$N$23</c:f>
              <c:numCache>
                <c:formatCode>General</c:formatCode>
                <c:ptCount val="22"/>
                <c:pt idx="0">
                  <c:v>8</c:v>
                </c:pt>
                <c:pt idx="1">
                  <c:v>11</c:v>
                </c:pt>
                <c:pt idx="2">
                  <c:v>52</c:v>
                </c:pt>
                <c:pt idx="3">
                  <c:v>42</c:v>
                </c:pt>
                <c:pt idx="4">
                  <c:v>49</c:v>
                </c:pt>
                <c:pt idx="5">
                  <c:v>6</c:v>
                </c:pt>
                <c:pt idx="6">
                  <c:v>17</c:v>
                </c:pt>
                <c:pt idx="7">
                  <c:v>66</c:v>
                </c:pt>
                <c:pt idx="8">
                  <c:v>3</c:v>
                </c:pt>
                <c:pt idx="9">
                  <c:v>13</c:v>
                </c:pt>
                <c:pt idx="10">
                  <c:v>14</c:v>
                </c:pt>
                <c:pt idx="11">
                  <c:v>13</c:v>
                </c:pt>
                <c:pt idx="12">
                  <c:v>23</c:v>
                </c:pt>
                <c:pt idx="13">
                  <c:v>10</c:v>
                </c:pt>
                <c:pt idx="14">
                  <c:v>4</c:v>
                </c:pt>
                <c:pt idx="15">
                  <c:v>5</c:v>
                </c:pt>
                <c:pt idx="16">
                  <c:v>28</c:v>
                </c:pt>
                <c:pt idx="17">
                  <c:v>53</c:v>
                </c:pt>
                <c:pt idx="18">
                  <c:v>180</c:v>
                </c:pt>
                <c:pt idx="19">
                  <c:v>0</c:v>
                </c:pt>
                <c:pt idx="20">
                  <c:v>1590</c:v>
                </c:pt>
                <c:pt idx="21">
                  <c:v>2187</c:v>
                </c:pt>
              </c:numCache>
            </c:numRef>
          </c:val>
          <c:extLst xmlns:c16r2="http://schemas.microsoft.com/office/drawing/2015/06/chart">
            <c:ext xmlns:c16="http://schemas.microsoft.com/office/drawing/2014/chart" uri="{C3380CC4-5D6E-409C-BE32-E72D297353CC}">
              <c16:uniqueId val="{0000000C-4591-40C7-87E9-6C1ACFD3F736}"/>
            </c:ext>
          </c:extLst>
        </c:ser>
        <c:dLbls>
          <c:dLblPos val="outEnd"/>
          <c:showLegendKey val="0"/>
          <c:showVal val="1"/>
          <c:showCatName val="0"/>
          <c:showSerName val="0"/>
          <c:showPercent val="0"/>
          <c:showBubbleSize val="0"/>
        </c:dLbls>
        <c:gapWidth val="444"/>
        <c:overlap val="-90"/>
        <c:axId val="81130496"/>
        <c:axId val="156516928"/>
      </c:barChart>
      <c:catAx>
        <c:axId val="81130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95000"/>
                    <a:lumOff val="5000"/>
                  </a:schemeClr>
                </a:solidFill>
                <a:latin typeface="+mn-lt"/>
                <a:ea typeface="+mn-ea"/>
                <a:cs typeface="+mn-cs"/>
              </a:defRPr>
            </a:pPr>
            <a:endParaRPr lang="es-CO"/>
          </a:p>
        </c:txPr>
        <c:crossAx val="156516928"/>
        <c:crosses val="autoZero"/>
        <c:auto val="1"/>
        <c:lblAlgn val="ctr"/>
        <c:lblOffset val="100"/>
        <c:noMultiLvlLbl val="0"/>
      </c:catAx>
      <c:valAx>
        <c:axId val="156516928"/>
        <c:scaling>
          <c:orientation val="minMax"/>
        </c:scaling>
        <c:delete val="1"/>
        <c:axPos val="l"/>
        <c:numFmt formatCode="General" sourceLinked="1"/>
        <c:majorTickMark val="none"/>
        <c:minorTickMark val="none"/>
        <c:tickLblPos val="nextTo"/>
        <c:crossAx val="811304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mn-lt"/>
                <a:ea typeface="+mn-ea"/>
                <a:cs typeface="+mn-cs"/>
              </a:defRPr>
            </a:pPr>
            <a:r>
              <a:rPr lang="en-US" sz="1800" b="1">
                <a:solidFill>
                  <a:schemeClr val="tx1">
                    <a:lumMod val="95000"/>
                    <a:lumOff val="5000"/>
                  </a:schemeClr>
                </a:solidFill>
              </a:rPr>
              <a:t>Grafica No. 6 - PQRSD por Estrato Social</a:t>
            </a:r>
            <a:endParaRPr lang="es-CO" sz="1800" b="1">
              <a:solidFill>
                <a:schemeClr val="tx1">
                  <a:lumMod val="95000"/>
                  <a:lumOff val="5000"/>
                </a:schemeClr>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Localidad!$A$28</c:f>
              <c:strCache>
                <c:ptCount val="1"/>
                <c:pt idx="0">
                  <c:v>1</c:v>
                </c:pt>
              </c:strCache>
            </c:strRef>
          </c:tx>
          <c:spPr>
            <a:solidFill>
              <a:schemeClr val="accent1">
                <a:shade val="47000"/>
              </a:schemeClr>
            </a:solidFill>
            <a:ln>
              <a:noFill/>
            </a:ln>
            <a:effectLst/>
            <a:sp3d/>
          </c:spPr>
          <c:invertIfNegative val="0"/>
          <c:dLbls>
            <c:dLbl>
              <c:idx val="0"/>
              <c:layout>
                <c:manualLayout>
                  <c:x val="2.3965141612200435E-2"/>
                  <c:y val="-4.5690550363447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Localidad!$B$28:$N$28</c:f>
              <c:numCache>
                <c:formatCode>General</c:formatCode>
                <c:ptCount val="1"/>
                <c:pt idx="0">
                  <c:v>443</c:v>
                </c:pt>
              </c:numCache>
            </c:numRef>
          </c:val>
          <c:extLst xmlns:c16r2="http://schemas.microsoft.com/office/drawing/2015/06/chart">
            <c:ext xmlns:c16="http://schemas.microsoft.com/office/drawing/2014/chart" uri="{C3380CC4-5D6E-409C-BE32-E72D297353CC}">
              <c16:uniqueId val="{00000000-25CA-4F98-BA7B-FDAD3CF74B78}"/>
            </c:ext>
          </c:extLst>
        </c:ser>
        <c:ser>
          <c:idx val="1"/>
          <c:order val="1"/>
          <c:tx>
            <c:strRef>
              <c:f>Localidad!$A$29</c:f>
              <c:strCache>
                <c:ptCount val="1"/>
                <c:pt idx="0">
                  <c:v>2</c:v>
                </c:pt>
              </c:strCache>
            </c:strRef>
          </c:tx>
          <c:spPr>
            <a:solidFill>
              <a:schemeClr val="accent1">
                <a:shade val="65000"/>
              </a:schemeClr>
            </a:solidFill>
            <a:ln>
              <a:noFill/>
            </a:ln>
            <a:effectLst/>
            <a:sp3d/>
          </c:spPr>
          <c:invertIfNegative val="0"/>
          <c:dLbls>
            <c:dLbl>
              <c:idx val="0"/>
              <c:layout>
                <c:manualLayout>
                  <c:x val="1.7429193899782137E-2"/>
                  <c:y val="-4.53561101472485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Localidad!$B$29:$N$29</c:f>
              <c:numCache>
                <c:formatCode>General</c:formatCode>
                <c:ptCount val="1"/>
                <c:pt idx="0">
                  <c:v>418</c:v>
                </c:pt>
              </c:numCache>
            </c:numRef>
          </c:val>
          <c:extLst xmlns:c16r2="http://schemas.microsoft.com/office/drawing/2015/06/chart">
            <c:ext xmlns:c16="http://schemas.microsoft.com/office/drawing/2014/chart" uri="{C3380CC4-5D6E-409C-BE32-E72D297353CC}">
              <c16:uniqueId val="{00000001-25CA-4F98-BA7B-FDAD3CF74B78}"/>
            </c:ext>
          </c:extLst>
        </c:ser>
        <c:ser>
          <c:idx val="2"/>
          <c:order val="2"/>
          <c:tx>
            <c:strRef>
              <c:f>Localidad!$A$30</c:f>
              <c:strCache>
                <c:ptCount val="1"/>
                <c:pt idx="0">
                  <c:v>3</c:v>
                </c:pt>
              </c:strCache>
            </c:strRef>
          </c:tx>
          <c:spPr>
            <a:solidFill>
              <a:schemeClr val="accent1">
                <a:shade val="82000"/>
              </a:schemeClr>
            </a:solidFill>
            <a:ln>
              <a:noFill/>
            </a:ln>
            <a:effectLst/>
            <a:sp3d/>
          </c:spPr>
          <c:invertIfNegative val="0"/>
          <c:dLbls>
            <c:dLbl>
              <c:idx val="0"/>
              <c:layout>
                <c:manualLayout>
                  <c:x val="3.0501089324618737E-2"/>
                  <c:y val="-4.5690550363447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Localidad!$B$30:$N$30</c:f>
              <c:numCache>
                <c:formatCode>General</c:formatCode>
                <c:ptCount val="1"/>
                <c:pt idx="0">
                  <c:v>102</c:v>
                </c:pt>
              </c:numCache>
            </c:numRef>
          </c:val>
          <c:extLst xmlns:c16r2="http://schemas.microsoft.com/office/drawing/2015/06/chart">
            <c:ext xmlns:c16="http://schemas.microsoft.com/office/drawing/2014/chart" uri="{C3380CC4-5D6E-409C-BE32-E72D297353CC}">
              <c16:uniqueId val="{00000002-25CA-4F98-BA7B-FDAD3CF74B78}"/>
            </c:ext>
          </c:extLst>
        </c:ser>
        <c:ser>
          <c:idx val="3"/>
          <c:order val="3"/>
          <c:tx>
            <c:strRef>
              <c:f>Localidad!$A$31</c:f>
              <c:strCache>
                <c:ptCount val="1"/>
                <c:pt idx="0">
                  <c:v>4</c:v>
                </c:pt>
              </c:strCache>
            </c:strRef>
          </c:tx>
          <c:spPr>
            <a:solidFill>
              <a:schemeClr val="accent1"/>
            </a:solidFill>
            <a:ln>
              <a:noFill/>
            </a:ln>
            <a:effectLst/>
            <a:sp3d/>
          </c:spPr>
          <c:invertIfNegative val="0"/>
          <c:dLbls>
            <c:dLbl>
              <c:idx val="0"/>
              <c:layout>
                <c:manualLayout>
                  <c:x val="3.2679738562091505E-2"/>
                  <c:y val="-5.39979231568015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Localidad!$B$31:$N$31</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3-25CA-4F98-BA7B-FDAD3CF74B78}"/>
            </c:ext>
          </c:extLst>
        </c:ser>
        <c:ser>
          <c:idx val="4"/>
          <c:order val="4"/>
          <c:tx>
            <c:strRef>
              <c:f>Localidad!$A$32</c:f>
              <c:strCache>
                <c:ptCount val="1"/>
                <c:pt idx="0">
                  <c:v>5</c:v>
                </c:pt>
              </c:strCache>
            </c:strRef>
          </c:tx>
          <c:spPr>
            <a:solidFill>
              <a:schemeClr val="accent1">
                <a:tint val="83000"/>
              </a:schemeClr>
            </a:solidFill>
            <a:ln>
              <a:noFill/>
            </a:ln>
            <a:effectLst/>
            <a:sp3d/>
          </c:spPr>
          <c:invertIfNegative val="0"/>
          <c:dLbls>
            <c:dLbl>
              <c:idx val="0"/>
              <c:layout>
                <c:manualLayout>
                  <c:x val="3.0501089324618657E-2"/>
                  <c:y val="-4.98442367601246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Localidad!$B$32:$N$32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4-25CA-4F98-BA7B-FDAD3CF74B78}"/>
            </c:ext>
          </c:extLst>
        </c:ser>
        <c:ser>
          <c:idx val="5"/>
          <c:order val="5"/>
          <c:tx>
            <c:strRef>
              <c:f>Localidad!$A$33</c:f>
              <c:strCache>
                <c:ptCount val="1"/>
                <c:pt idx="0">
                  <c:v>6</c:v>
                </c:pt>
              </c:strCache>
            </c:strRef>
          </c:tx>
          <c:spPr>
            <a:solidFill>
              <a:schemeClr val="accent1">
                <a:tint val="65000"/>
              </a:schemeClr>
            </a:solidFill>
            <a:ln>
              <a:noFill/>
            </a:ln>
            <a:effectLst/>
            <a:sp3d/>
          </c:spPr>
          <c:invertIfNegative val="0"/>
          <c:dLbls>
            <c:dLbl>
              <c:idx val="0"/>
              <c:layout>
                <c:manualLayout>
                  <c:x val="1.0893246187363835E-2"/>
                  <c:y val="-6.23052959501557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Localidad!$B$33:$N$33</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5-25CA-4F98-BA7B-FDAD3CF74B78}"/>
            </c:ext>
          </c:extLst>
        </c:ser>
        <c:ser>
          <c:idx val="6"/>
          <c:order val="6"/>
          <c:tx>
            <c:strRef>
              <c:f>Localidad!$A$34</c:f>
              <c:strCache>
                <c:ptCount val="1"/>
                <c:pt idx="0">
                  <c:v>No Reporta</c:v>
                </c:pt>
              </c:strCache>
            </c:strRef>
          </c:tx>
          <c:spPr>
            <a:solidFill>
              <a:schemeClr val="accent1">
                <a:tint val="48000"/>
              </a:schemeClr>
            </a:solidFill>
            <a:ln>
              <a:noFill/>
            </a:ln>
            <a:effectLst/>
            <a:sp3d/>
          </c:spPr>
          <c:invertIfNegative val="0"/>
          <c:dLbls>
            <c:dLbl>
              <c:idx val="0"/>
              <c:layout>
                <c:manualLayout>
                  <c:x val="4.5751633986928102E-2"/>
                  <c:y val="-3.553207042753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5CA-4F98-BA7B-FDAD3CF74B78}"/>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Localidad!$B$27:$N$27</c:f>
              <c:strCache>
                <c:ptCount val="1"/>
                <c:pt idx="0">
                  <c:v>Cantidad</c:v>
                </c:pt>
              </c:strCache>
            </c:strRef>
          </c:cat>
          <c:val>
            <c:numRef>
              <c:f>Localidad!$B$34:$N$34</c:f>
              <c:numCache>
                <c:formatCode>General</c:formatCode>
                <c:ptCount val="1"/>
                <c:pt idx="0">
                  <c:v>1185</c:v>
                </c:pt>
              </c:numCache>
            </c:numRef>
          </c:val>
          <c:extLst xmlns:c16r2="http://schemas.microsoft.com/office/drawing/2015/06/chart">
            <c:ext xmlns:c16="http://schemas.microsoft.com/office/drawing/2014/chart" uri="{C3380CC4-5D6E-409C-BE32-E72D297353CC}">
              <c16:uniqueId val="{00000006-25CA-4F98-BA7B-FDAD3CF74B78}"/>
            </c:ext>
          </c:extLst>
        </c:ser>
        <c:dLbls>
          <c:showLegendKey val="0"/>
          <c:showVal val="0"/>
          <c:showCatName val="0"/>
          <c:showSerName val="0"/>
          <c:showPercent val="0"/>
          <c:showBubbleSize val="0"/>
        </c:dLbls>
        <c:gapWidth val="150"/>
        <c:shape val="box"/>
        <c:axId val="208897536"/>
        <c:axId val="156518080"/>
        <c:axId val="0"/>
      </c:bar3DChart>
      <c:catAx>
        <c:axId val="208897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crossAx val="156518080"/>
        <c:crosses val="autoZero"/>
        <c:auto val="1"/>
        <c:lblAlgn val="ctr"/>
        <c:lblOffset val="100"/>
        <c:noMultiLvlLbl val="0"/>
      </c:catAx>
      <c:valAx>
        <c:axId val="15651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20889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7 - PQRSD por Tipo de Requiriente</a:t>
            </a:r>
            <a:endParaRPr lang="es-CO">
              <a:solidFill>
                <a:schemeClr val="tx1">
                  <a:lumMod val="95000"/>
                  <a:lumOff val="5000"/>
                </a:schemeClr>
              </a:solidFill>
            </a:endParaRPr>
          </a:p>
        </c:rich>
      </c:tx>
      <c:overlay val="0"/>
      <c:spPr>
        <a:noFill/>
        <a:ln>
          <a:noFill/>
        </a:ln>
        <a:effectLst/>
      </c:spPr>
    </c:title>
    <c:autoTitleDeleted val="0"/>
    <c:plotArea>
      <c:layout/>
      <c:barChart>
        <c:barDir val="bar"/>
        <c:grouping val="stacked"/>
        <c:varyColors val="0"/>
        <c:ser>
          <c:idx val="0"/>
          <c:order val="0"/>
          <c:tx>
            <c:strRef>
              <c:f>Localidad!$A$39</c:f>
              <c:strCache>
                <c:ptCount val="1"/>
                <c:pt idx="0">
                  <c:v>Natural</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Localidad!$B$38:$N$38</c:f>
              <c:strCache>
                <c:ptCount val="1"/>
                <c:pt idx="0">
                  <c:v>Cantidad</c:v>
                </c:pt>
              </c:strCache>
            </c:strRef>
          </c:cat>
          <c:val>
            <c:numRef>
              <c:f>Localidad!$B$39:$N$39</c:f>
              <c:numCache>
                <c:formatCode>General</c:formatCode>
                <c:ptCount val="1"/>
                <c:pt idx="0">
                  <c:v>2106</c:v>
                </c:pt>
              </c:numCache>
            </c:numRef>
          </c:val>
          <c:extLst xmlns:c16r2="http://schemas.microsoft.com/office/drawing/2015/06/chart">
            <c:ext xmlns:c16="http://schemas.microsoft.com/office/drawing/2014/chart" uri="{C3380CC4-5D6E-409C-BE32-E72D297353CC}">
              <c16:uniqueId val="{00000000-0B13-475B-A0ED-70A12756D2EA}"/>
            </c:ext>
          </c:extLst>
        </c:ser>
        <c:ser>
          <c:idx val="1"/>
          <c:order val="1"/>
          <c:tx>
            <c:strRef>
              <c:f>Localidad!$A$40</c:f>
              <c:strCache>
                <c:ptCount val="1"/>
                <c:pt idx="0">
                  <c:v>Juridica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Localidad!$B$38:$N$38</c:f>
              <c:strCache>
                <c:ptCount val="1"/>
                <c:pt idx="0">
                  <c:v>Cantidad</c:v>
                </c:pt>
              </c:strCache>
            </c:strRef>
          </c:cat>
          <c:val>
            <c:numRef>
              <c:f>Localidad!$B$40:$N$40</c:f>
              <c:numCache>
                <c:formatCode>General</c:formatCode>
                <c:ptCount val="1"/>
                <c:pt idx="0">
                  <c:v>58</c:v>
                </c:pt>
              </c:numCache>
            </c:numRef>
          </c:val>
          <c:extLst xmlns:c16r2="http://schemas.microsoft.com/office/drawing/2015/06/chart">
            <c:ext xmlns:c16="http://schemas.microsoft.com/office/drawing/2014/chart" uri="{C3380CC4-5D6E-409C-BE32-E72D297353CC}">
              <c16:uniqueId val="{00000001-0B13-475B-A0ED-70A12756D2EA}"/>
            </c:ext>
          </c:extLst>
        </c:ser>
        <c:ser>
          <c:idx val="2"/>
          <c:order val="2"/>
          <c:tx>
            <c:strRef>
              <c:f>Localidad!$A$41</c:f>
              <c:strCache>
                <c:ptCount val="1"/>
                <c:pt idx="0">
                  <c:v>No Reporta</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Localidad!$B$38:$N$38</c:f>
              <c:strCache>
                <c:ptCount val="1"/>
                <c:pt idx="0">
                  <c:v>Cantidad</c:v>
                </c:pt>
              </c:strCache>
            </c:strRef>
          </c:cat>
          <c:val>
            <c:numRef>
              <c:f>Localidad!$B$41:$N$41</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2-0B13-475B-A0ED-70A12756D2EA}"/>
            </c:ext>
          </c:extLst>
        </c:ser>
        <c:dLbls>
          <c:showLegendKey val="0"/>
          <c:showVal val="0"/>
          <c:showCatName val="0"/>
          <c:showSerName val="0"/>
          <c:showPercent val="0"/>
          <c:showBubbleSize val="0"/>
        </c:dLbls>
        <c:gapWidth val="150"/>
        <c:overlap val="100"/>
        <c:axId val="81132032"/>
        <c:axId val="156519808"/>
      </c:barChart>
      <c:catAx>
        <c:axId val="8113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56519808"/>
        <c:crosses val="autoZero"/>
        <c:auto val="1"/>
        <c:lblAlgn val="ctr"/>
        <c:lblOffset val="100"/>
        <c:noMultiLvlLbl val="0"/>
      </c:catAx>
      <c:valAx>
        <c:axId val="156519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8113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CO" sz="1400" b="1" i="0" baseline="0">
                <a:solidFill>
                  <a:schemeClr val="tx1"/>
                </a:solidFill>
                <a:effectLst/>
                <a:latin typeface="Arial" panose="020B0604020202020204" pitchFamily="34" charset="0"/>
                <a:cs typeface="Arial" panose="020B0604020202020204" pitchFamily="34" charset="0"/>
              </a:rPr>
              <a:t>Grafica No. 8 - PORCENTAJE DE DIAS UTILIZADOS</a:t>
            </a:r>
            <a:endParaRPr lang="es-CO" sz="14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itle>
    <c:autoTitleDeleted val="0"/>
    <c:view3D>
      <c:rotX val="30"/>
      <c:rotY val="118"/>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947990262546486"/>
          <c:w val="1"/>
          <c:h val="0.71947221098873215"/>
        </c:manualLayout>
      </c:layout>
      <c:pie3DChart>
        <c:varyColors val="1"/>
        <c:ser>
          <c:idx val="0"/>
          <c:order val="0"/>
          <c:tx>
            <c:strRef>
              <c:f>Hoja1!$L$10</c:f>
              <c:strCache>
                <c:ptCount val="1"/>
                <c:pt idx="0">
                  <c:v>Total</c:v>
                </c:pt>
              </c:strCache>
            </c:strRef>
          </c:tx>
          <c:explosion val="7"/>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246-456D-8A59-9A68450AED96}"/>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246-456D-8A59-9A68450AED9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Hoja1!$K$11:$K$12</c:f>
              <c:strCache>
                <c:ptCount val="2"/>
                <c:pt idx="0">
                  <c:v>Dias Utilizados</c:v>
                </c:pt>
                <c:pt idx="1">
                  <c:v>Dias Ahorrados</c:v>
                </c:pt>
              </c:strCache>
            </c:strRef>
          </c:cat>
          <c:val>
            <c:numRef>
              <c:f>Hoja1!$L$11:$L$12</c:f>
              <c:numCache>
                <c:formatCode>0.00</c:formatCode>
                <c:ptCount val="2"/>
                <c:pt idx="0">
                  <c:v>9.6828497618788241</c:v>
                </c:pt>
                <c:pt idx="1">
                  <c:v>5.8171502381211759</c:v>
                </c:pt>
              </c:numCache>
            </c:numRef>
          </c:val>
          <c:extLst xmlns:c16r2="http://schemas.microsoft.com/office/drawing/2015/06/chart">
            <c:ext xmlns:c16="http://schemas.microsoft.com/office/drawing/2014/chart" uri="{C3380CC4-5D6E-409C-BE32-E72D297353CC}">
              <c16:uniqueId val="{00000004-E246-456D-8A59-9A68450AED96}"/>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0.20655478161383678"/>
          <c:y val="0.90964118911117986"/>
          <c:w val="0.57678717672646762"/>
          <c:h val="6.590923868655390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0.23285</cdr:x>
      <cdr:y>0</cdr:y>
    </cdr:from>
    <cdr:to>
      <cdr:x>0.74122</cdr:x>
      <cdr:y>0.08231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90650" y="-2924175"/>
          <a:ext cx="3036071" cy="46333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9810-138D-441E-ACF6-01EF8554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6201</Words>
  <Characters>34107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3</cp:revision>
  <cp:lastPrinted>2019-08-20T13:58:00Z</cp:lastPrinted>
  <dcterms:created xsi:type="dcterms:W3CDTF">2019-08-20T14:01:00Z</dcterms:created>
  <dcterms:modified xsi:type="dcterms:W3CDTF">2019-08-20T16:53:00Z</dcterms:modified>
</cp:coreProperties>
</file>