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06" w:rsidRPr="00F2020A" w:rsidRDefault="00901869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F2F06"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="006F2F06"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6F2F06" w:rsidRPr="00F2020A" w:rsidRDefault="006F2F06" w:rsidP="006F2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6F2F06" w:rsidRPr="00F2020A" w:rsidRDefault="006F2F06" w:rsidP="006F2F06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JU</w:t>
      </w:r>
      <w:r w:rsidR="00A110A1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IO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b/>
        </w:rPr>
      </w:pPr>
    </w:p>
    <w:p w:rsidR="006F2F06" w:rsidRPr="00EC26D5" w:rsidRDefault="006F2F06" w:rsidP="006F2F06">
      <w:pPr>
        <w:spacing w:after="0" w:line="240" w:lineRule="auto"/>
        <w:jc w:val="center"/>
        <w:rPr>
          <w:rFonts w:ascii="Arial" w:hAnsi="Arial" w:cs="Arial"/>
          <w:b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 w:rsidR="00A110A1">
        <w:rPr>
          <w:rFonts w:ascii="Arial" w:hAnsi="Arial" w:cs="Arial"/>
          <w:color w:val="808080"/>
          <w:lang w:val="es-ES"/>
        </w:rPr>
        <w:t>8</w:t>
      </w:r>
      <w:r>
        <w:rPr>
          <w:rFonts w:ascii="Arial" w:hAnsi="Arial" w:cs="Arial"/>
          <w:color w:val="808080"/>
          <w:lang w:val="es-ES"/>
        </w:rPr>
        <w:t xml:space="preserve"> de </w:t>
      </w:r>
      <w:r w:rsidR="00EC37F1">
        <w:rPr>
          <w:rFonts w:ascii="Arial" w:hAnsi="Arial" w:cs="Arial"/>
          <w:color w:val="808080"/>
          <w:lang w:val="es-ES"/>
        </w:rPr>
        <w:t xml:space="preserve">agosto </w:t>
      </w:r>
      <w:r>
        <w:rPr>
          <w:rFonts w:ascii="Arial" w:hAnsi="Arial" w:cs="Arial"/>
          <w:color w:val="808080"/>
          <w:lang w:val="es-ES"/>
        </w:rPr>
        <w:t>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bookmarkStart w:id="0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>ju</w:t>
      </w:r>
      <w:r w:rsidR="00EC37F1">
        <w:rPr>
          <w:rFonts w:ascii="Arial" w:hAnsi="Arial" w:cs="Arial"/>
        </w:rPr>
        <w:t>lio</w:t>
      </w:r>
      <w:r>
        <w:rPr>
          <w:rFonts w:ascii="Arial" w:hAnsi="Arial" w:cs="Arial"/>
        </w:rPr>
        <w:t xml:space="preserve">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0"/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F2F06" w:rsidRPr="001439DD" w:rsidRDefault="006F2F06" w:rsidP="006F2F0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period</w:t>
      </w:r>
      <w:r w:rsidR="00EC37F1">
        <w:rPr>
          <w:rFonts w:ascii="Arial" w:hAnsi="Arial" w:cs="Arial"/>
        </w:rPr>
        <w:t>o comprendido entre el 1 y el 31 de jul</w:t>
      </w:r>
      <w:r>
        <w:rPr>
          <w:rFonts w:ascii="Arial" w:hAnsi="Arial" w:cs="Arial"/>
        </w:rPr>
        <w:t>io, se prestó la orien</w:t>
      </w:r>
      <w:r w:rsidR="00EC37F1">
        <w:rPr>
          <w:rFonts w:ascii="Arial" w:hAnsi="Arial" w:cs="Arial"/>
        </w:rPr>
        <w:t>tación y el direccionamiento a 3</w:t>
      </w:r>
      <w:r>
        <w:rPr>
          <w:rFonts w:ascii="Arial" w:hAnsi="Arial" w:cs="Arial"/>
        </w:rPr>
        <w:t>.</w:t>
      </w:r>
      <w:r w:rsidR="00EC37F1">
        <w:rPr>
          <w:rFonts w:ascii="Arial" w:hAnsi="Arial" w:cs="Arial"/>
        </w:rPr>
        <w:t>3</w:t>
      </w:r>
      <w:r w:rsidR="00901869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 w:rsidR="00901869">
        <w:rPr>
          <w:rFonts w:ascii="Arial" w:hAnsi="Arial" w:cs="Arial"/>
        </w:rPr>
        <w:t>atención a 154</w:t>
      </w:r>
      <w:r w:rsidR="00EC37F1"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ciudadanos.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566655AE" wp14:editId="2EF1C5F6">
            <wp:extent cx="6021705" cy="5029200"/>
            <wp:effectExtent l="0" t="0" r="17145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Pr="001079BC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 w:rsidR="00EC37F1">
        <w:rPr>
          <w:rFonts w:ascii="Arial" w:hAnsi="Arial" w:cs="Arial"/>
        </w:rPr>
        <w:t>jul</w:t>
      </w:r>
      <w:r>
        <w:rPr>
          <w:rFonts w:ascii="Arial" w:hAnsi="Arial" w:cs="Arial"/>
        </w:rPr>
        <w:t>io</w:t>
      </w:r>
      <w:r w:rsidRPr="00495294">
        <w:rPr>
          <w:rFonts w:ascii="Arial" w:hAnsi="Arial" w:cs="Arial"/>
        </w:rPr>
        <w:t xml:space="preserve"> a la Caja de la Vivienda Popular se distribuyó así: 4</w:t>
      </w:r>
      <w:r w:rsidR="00EC37F1">
        <w:rPr>
          <w:rFonts w:ascii="Arial" w:hAnsi="Arial" w:cs="Arial"/>
        </w:rPr>
        <w:t>8</w:t>
      </w:r>
      <w:r w:rsidRPr="00495294"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17</w:t>
      </w:r>
      <w:r w:rsidRPr="00495294">
        <w:rPr>
          <w:rFonts w:ascii="Arial" w:hAnsi="Arial" w:cs="Arial"/>
        </w:rPr>
        <w:t xml:space="preserve">% para la Dirección de Reasentamientos Humanos, </w:t>
      </w:r>
      <w:r w:rsidR="00EC37F1">
        <w:rPr>
          <w:rFonts w:ascii="Arial" w:hAnsi="Arial" w:cs="Arial"/>
        </w:rPr>
        <w:t>26</w:t>
      </w:r>
      <w:r w:rsidR="00EC37F1" w:rsidRPr="00495294"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12</w:t>
      </w:r>
      <w:r w:rsidRPr="00495294">
        <w:rPr>
          <w:rFonts w:ascii="Arial" w:hAnsi="Arial" w:cs="Arial"/>
        </w:rPr>
        <w:t xml:space="preserve">% para la Dirección de Mejoramiento de </w:t>
      </w:r>
      <w:r w:rsidR="00EC37F1">
        <w:rPr>
          <w:rFonts w:ascii="Arial" w:hAnsi="Arial" w:cs="Arial"/>
        </w:rPr>
        <w:t xml:space="preserve"> </w:t>
      </w:r>
      <w:r w:rsidRPr="00495294">
        <w:rPr>
          <w:rFonts w:ascii="Arial" w:hAnsi="Arial" w:cs="Arial"/>
        </w:rPr>
        <w:lastRenderedPageBreak/>
        <w:t xml:space="preserve">Vivienda y un </w:t>
      </w:r>
      <w:r w:rsidR="00EC37F1">
        <w:rPr>
          <w:rFonts w:ascii="Arial" w:hAnsi="Arial" w:cs="Arial"/>
        </w:rPr>
        <w:t>22</w:t>
      </w:r>
      <w:r w:rsidRPr="00495294"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76</w:t>
      </w:r>
      <w:r w:rsidRPr="00495294">
        <w:rPr>
          <w:rFonts w:ascii="Arial" w:hAnsi="Arial" w:cs="Arial"/>
        </w:rPr>
        <w:t xml:space="preserve">% para la Dirección de Urbanización y Titulaciones; siendo estas las áreas o dependencias de mayor demanda de atención con </w:t>
      </w:r>
      <w:r w:rsidR="00EC37F1">
        <w:rPr>
          <w:rFonts w:ascii="Arial" w:hAnsi="Arial" w:cs="Arial"/>
        </w:rPr>
        <w:t>3.292</w:t>
      </w:r>
      <w:r w:rsidRPr="00495294">
        <w:rPr>
          <w:rFonts w:ascii="Arial" w:hAnsi="Arial" w:cs="Arial"/>
        </w:rPr>
        <w:t xml:space="preserve"> asistentes a la entidad.</w:t>
      </w:r>
    </w:p>
    <w:p w:rsidR="006F2F06" w:rsidRDefault="006F2F06" w:rsidP="000D1A76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  <w:r>
        <w:rPr>
          <w:noProof/>
          <w:lang w:eastAsia="es-CO"/>
        </w:rPr>
        <w:drawing>
          <wp:inline distT="0" distB="0" distL="0" distR="0" wp14:anchorId="0C44285D" wp14:editId="2DCD41E4">
            <wp:extent cx="6019800" cy="4371975"/>
            <wp:effectExtent l="0" t="0" r="1905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4A6881" w:rsidRDefault="006F2F06" w:rsidP="006F2F06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4A6881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lastRenderedPageBreak/>
        <w:t xml:space="preserve">Esta área obtuvo una asistencia de </w:t>
      </w:r>
      <w:r>
        <w:rPr>
          <w:rFonts w:ascii="Arial" w:hAnsi="Arial" w:cs="Arial"/>
        </w:rPr>
        <w:t>1.</w:t>
      </w:r>
      <w:r w:rsidR="00D0373B">
        <w:rPr>
          <w:rFonts w:ascii="Arial" w:hAnsi="Arial" w:cs="Arial"/>
        </w:rPr>
        <w:t>634</w:t>
      </w:r>
      <w:r w:rsidRPr="001079BC">
        <w:rPr>
          <w:rFonts w:ascii="Arial" w:hAnsi="Arial" w:cs="Arial"/>
        </w:rPr>
        <w:t xml:space="preserve"> ciudadanos, lo que representa el </w:t>
      </w:r>
      <w:r w:rsidR="00D0373B">
        <w:rPr>
          <w:rFonts w:ascii="Arial" w:hAnsi="Arial" w:cs="Arial"/>
        </w:rPr>
        <w:t>48,</w:t>
      </w:r>
      <w:r w:rsidR="00901869">
        <w:rPr>
          <w:rFonts w:ascii="Arial" w:hAnsi="Arial" w:cs="Arial"/>
        </w:rPr>
        <w:t>17</w:t>
      </w:r>
      <w:r>
        <w:rPr>
          <w:rFonts w:ascii="Arial" w:hAnsi="Arial" w:cs="Arial"/>
        </w:rPr>
        <w:t>%</w:t>
      </w:r>
      <w:r w:rsidRPr="001079BC">
        <w:rPr>
          <w:rFonts w:ascii="Arial" w:hAnsi="Arial" w:cs="Arial"/>
        </w:rPr>
        <w:t xml:space="preserve"> del total de asistentes a la entidad en </w:t>
      </w:r>
      <w:r w:rsidR="00D0373B">
        <w:rPr>
          <w:rFonts w:ascii="Arial" w:hAnsi="Arial" w:cs="Arial"/>
        </w:rPr>
        <w:t>jul</w:t>
      </w:r>
      <w:r>
        <w:rPr>
          <w:rFonts w:ascii="Arial" w:hAnsi="Arial" w:cs="Arial"/>
        </w:rPr>
        <w:t>io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 w:rsidR="004C2AD1">
        <w:rPr>
          <w:rFonts w:ascii="Arial" w:hAnsi="Arial" w:cs="Arial"/>
        </w:rPr>
        <w:t>91,19</w:t>
      </w:r>
      <w:r>
        <w:rPr>
          <w:rFonts w:ascii="Arial" w:hAnsi="Arial" w:cs="Arial"/>
        </w:rPr>
        <w:t>% (1.</w:t>
      </w:r>
      <w:r w:rsidR="004C2AD1">
        <w:rPr>
          <w:rFonts w:ascii="Arial" w:hAnsi="Arial" w:cs="Arial"/>
        </w:rPr>
        <w:t>490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71" w:type="dxa"/>
        <w:tblInd w:w="108" w:type="dxa"/>
        <w:tblLook w:val="04A0" w:firstRow="1" w:lastRow="0" w:firstColumn="1" w:lastColumn="0" w:noHBand="0" w:noVBand="1"/>
      </w:tblPr>
      <w:tblGrid>
        <w:gridCol w:w="3843"/>
        <w:gridCol w:w="2693"/>
        <w:gridCol w:w="2835"/>
      </w:tblGrid>
      <w:tr w:rsidR="006F2F06" w:rsidRPr="00B43427" w:rsidTr="00916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DIRECCIÓN DE REASENTAMIENTOS HUMANOS</w:t>
            </w:r>
          </w:p>
        </w:tc>
      </w:tr>
      <w:tr w:rsidR="006F2F06" w:rsidRPr="00B43427" w:rsidTr="009167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B43427" w:rsidRDefault="006F2F06" w:rsidP="00003A9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B43427" w:rsidTr="00D0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269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43427" w:rsidRDefault="006F2F06" w:rsidP="00D037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B43427">
              <w:rPr>
                <w:rFonts w:eastAsia="Times New Roman"/>
                <w:color w:val="000000"/>
                <w:lang w:eastAsia="es-CO"/>
              </w:rPr>
              <w:t>1</w:t>
            </w:r>
            <w:r w:rsidR="00D0373B">
              <w:rPr>
                <w:rFonts w:eastAsia="Times New Roman"/>
                <w:color w:val="000000"/>
                <w:lang w:eastAsia="es-CO"/>
              </w:rPr>
              <w:t>490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91,19%</w:t>
            </w:r>
          </w:p>
        </w:tc>
      </w:tr>
      <w:tr w:rsidR="006F2F06" w:rsidRPr="00B43427" w:rsidTr="00D037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75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4,59%</w:t>
            </w:r>
          </w:p>
        </w:tc>
      </w:tr>
      <w:tr w:rsidR="006F2F06" w:rsidRPr="00B43427" w:rsidTr="00D0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43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2,63%</w:t>
            </w:r>
          </w:p>
        </w:tc>
      </w:tr>
      <w:tr w:rsidR="006F2F06" w:rsidRPr="00B43427" w:rsidTr="00D037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0,55%</w:t>
            </w:r>
          </w:p>
        </w:tc>
      </w:tr>
      <w:tr w:rsidR="006F2F06" w:rsidRPr="00B43427" w:rsidTr="00D0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0,12%</w:t>
            </w:r>
          </w:p>
        </w:tc>
      </w:tr>
      <w:tr w:rsidR="006F2F06" w:rsidRPr="00B43427" w:rsidTr="00D0373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0,37%</w:t>
            </w:r>
          </w:p>
        </w:tc>
      </w:tr>
      <w:tr w:rsidR="00D0373B" w:rsidRPr="00B43427" w:rsidTr="009167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</w:tcPr>
          <w:p w:rsidR="00D0373B" w:rsidRPr="00D0373B" w:rsidRDefault="00D0373B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D0373B">
              <w:rPr>
                <w:rFonts w:eastAsia="Times New Roman"/>
                <w:b w:val="0"/>
                <w:color w:val="000000"/>
                <w:lang w:eastAsia="es-CO"/>
              </w:rPr>
              <w:t>Entrega de vivienda</w:t>
            </w:r>
          </w:p>
        </w:tc>
        <w:tc>
          <w:tcPr>
            <w:tcW w:w="2693" w:type="dxa"/>
            <w:noWrap/>
          </w:tcPr>
          <w:p w:rsidR="00D0373B" w:rsidRDefault="00D0373B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2835" w:type="dxa"/>
            <w:noWrap/>
          </w:tcPr>
          <w:p w:rsidR="00D0373B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0,24%</w:t>
            </w:r>
          </w:p>
        </w:tc>
      </w:tr>
      <w:tr w:rsidR="00D0373B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</w:tcPr>
          <w:p w:rsidR="00D0373B" w:rsidRPr="00D0373B" w:rsidRDefault="00D0373B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2693" w:type="dxa"/>
            <w:noWrap/>
          </w:tcPr>
          <w:p w:rsidR="00D0373B" w:rsidRDefault="00D0373B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835" w:type="dxa"/>
            <w:noWrap/>
          </w:tcPr>
          <w:p w:rsidR="00D0373B" w:rsidRPr="00B43427" w:rsidRDefault="004C2AD1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0,18%</w:t>
            </w:r>
          </w:p>
        </w:tc>
      </w:tr>
      <w:tr w:rsidR="006F2F06" w:rsidRPr="00B43427" w:rsidTr="00D0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  <w:hideMark/>
          </w:tcPr>
          <w:p w:rsidR="006F2F06" w:rsidRPr="00003A92" w:rsidRDefault="00003A92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03A92">
              <w:rPr>
                <w:rFonts w:eastAsia="Times New Roman"/>
                <w:b w:val="0"/>
                <w:color w:val="000000"/>
                <w:lang w:eastAsia="es-CO"/>
              </w:rPr>
              <w:t>Desembolso a constructora</w:t>
            </w:r>
          </w:p>
        </w:tc>
        <w:tc>
          <w:tcPr>
            <w:tcW w:w="2693" w:type="dxa"/>
            <w:noWrap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835" w:type="dxa"/>
            <w:noWrap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0,06%</w:t>
            </w:r>
          </w:p>
        </w:tc>
      </w:tr>
      <w:tr w:rsidR="00D0373B" w:rsidRPr="00B43427" w:rsidTr="0091670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noWrap/>
          </w:tcPr>
          <w:p w:rsidR="00D0373B" w:rsidRPr="00D0373B" w:rsidRDefault="00D0373B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D0373B">
              <w:rPr>
                <w:rFonts w:eastAsia="Times New Roman"/>
                <w:b w:val="0"/>
                <w:color w:val="000000"/>
                <w:lang w:eastAsia="es-CO"/>
              </w:rPr>
              <w:t>Certificación vinculación</w:t>
            </w:r>
          </w:p>
        </w:tc>
        <w:tc>
          <w:tcPr>
            <w:tcW w:w="2693" w:type="dxa"/>
            <w:noWrap/>
          </w:tcPr>
          <w:p w:rsidR="00D0373B" w:rsidRDefault="00D0373B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835" w:type="dxa"/>
            <w:noWrap/>
          </w:tcPr>
          <w:p w:rsidR="00D0373B" w:rsidRPr="00B43427" w:rsidRDefault="004C2AD1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0,06%</w:t>
            </w:r>
          </w:p>
        </w:tc>
      </w:tr>
      <w:tr w:rsidR="006F2F06" w:rsidRPr="00B43427" w:rsidTr="00D037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43" w:type="dxa"/>
            <w:hideMark/>
          </w:tcPr>
          <w:p w:rsidR="006F2F06" w:rsidRPr="00B43427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B4342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693" w:type="dxa"/>
            <w:hideMark/>
          </w:tcPr>
          <w:p w:rsidR="006F2F06" w:rsidRPr="00B43427" w:rsidRDefault="00D0373B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1634</w:t>
            </w:r>
          </w:p>
        </w:tc>
        <w:tc>
          <w:tcPr>
            <w:tcW w:w="2835" w:type="dxa"/>
          </w:tcPr>
          <w:p w:rsidR="006F2F06" w:rsidRPr="00B43427" w:rsidRDefault="004C2AD1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100,00%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C51372" w:rsidRDefault="00C51372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6F2F06" w:rsidRPr="001026C4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 w:rsidR="007A1A53">
        <w:rPr>
          <w:rFonts w:ascii="Arial" w:hAnsi="Arial" w:cs="Arial"/>
        </w:rPr>
        <w:t>772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</w:t>
      </w:r>
      <w:r w:rsidR="007A1A53">
        <w:rPr>
          <w:rFonts w:ascii="Arial" w:hAnsi="Arial" w:cs="Arial"/>
        </w:rPr>
        <w:t>2,</w:t>
      </w:r>
      <w:r w:rsidR="00901869">
        <w:rPr>
          <w:rFonts w:ascii="Arial" w:hAnsi="Arial" w:cs="Arial"/>
        </w:rPr>
        <w:t>76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 xml:space="preserve">, de los cuales </w:t>
      </w:r>
      <w:r w:rsidR="007A1A53">
        <w:rPr>
          <w:rFonts w:ascii="Arial" w:hAnsi="Arial" w:cs="Arial"/>
        </w:rPr>
        <w:t>719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</w:t>
      </w:r>
      <w:r w:rsidR="007A1A53">
        <w:rPr>
          <w:rFonts w:ascii="Arial" w:hAnsi="Arial" w:cs="Arial"/>
        </w:rPr>
        <w:t>3,13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C51372" w:rsidRDefault="00C51372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84"/>
        <w:gridCol w:w="2552"/>
        <w:gridCol w:w="2828"/>
      </w:tblGrid>
      <w:tr w:rsidR="006F2F06" w:rsidRPr="00024704" w:rsidTr="00595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6F2F06" w:rsidRPr="00024704" w:rsidTr="00595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024704" w:rsidRDefault="006F2F06" w:rsidP="00C5137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024704" w:rsidTr="007A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255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:rsidR="006F2F06" w:rsidRPr="00024704" w:rsidRDefault="004C2AD1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719</w:t>
            </w:r>
          </w:p>
        </w:tc>
        <w:tc>
          <w:tcPr>
            <w:tcW w:w="2828" w:type="dxa"/>
            <w:tcBorders>
              <w:top w:val="single" w:sz="4" w:space="0" w:color="FFFFFF" w:themeColor="background1"/>
            </w:tcBorders>
            <w:noWrap/>
            <w:vAlign w:val="center"/>
          </w:tcPr>
          <w:p w:rsidR="006F2F06" w:rsidRPr="00024704" w:rsidRDefault="007A1A53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93,13%</w:t>
            </w:r>
          </w:p>
        </w:tc>
      </w:tr>
      <w:tr w:rsidR="006F2F06" w:rsidRPr="00024704" w:rsidTr="007A1A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2552" w:type="dxa"/>
            <w:noWrap/>
            <w:vAlign w:val="center"/>
            <w:hideMark/>
          </w:tcPr>
          <w:p w:rsidR="006F2F06" w:rsidRPr="00024704" w:rsidRDefault="007A1A53" w:rsidP="008D1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</w:t>
            </w:r>
            <w:r w:rsidR="006F2F06" w:rsidRPr="00024704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2828" w:type="dxa"/>
            <w:noWrap/>
            <w:vAlign w:val="center"/>
          </w:tcPr>
          <w:p w:rsidR="006F2F06" w:rsidRPr="00024704" w:rsidRDefault="007A1A53" w:rsidP="008D1C3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1,68%</w:t>
            </w:r>
          </w:p>
        </w:tc>
      </w:tr>
      <w:tr w:rsidR="006F2F06" w:rsidRPr="00024704" w:rsidTr="007A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noWrap/>
            <w:hideMark/>
          </w:tcPr>
          <w:p w:rsidR="006F2F06" w:rsidRPr="009535DE" w:rsidRDefault="009535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9535DE">
              <w:rPr>
                <w:rFonts w:eastAsia="Times New Roman"/>
                <w:b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2552" w:type="dxa"/>
            <w:noWrap/>
            <w:vAlign w:val="center"/>
            <w:hideMark/>
          </w:tcPr>
          <w:p w:rsidR="006F2F06" w:rsidRPr="00024704" w:rsidRDefault="007A1A53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40</w:t>
            </w:r>
          </w:p>
        </w:tc>
        <w:tc>
          <w:tcPr>
            <w:tcW w:w="2828" w:type="dxa"/>
            <w:noWrap/>
            <w:vAlign w:val="center"/>
          </w:tcPr>
          <w:p w:rsidR="006F2F06" w:rsidRPr="00024704" w:rsidRDefault="007A1A53" w:rsidP="008D1C3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5,18%</w:t>
            </w:r>
          </w:p>
        </w:tc>
      </w:tr>
      <w:tr w:rsidR="006F2F06" w:rsidRPr="00024704" w:rsidTr="007A1A53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84" w:type="dxa"/>
            <w:hideMark/>
          </w:tcPr>
          <w:p w:rsidR="006F2F06" w:rsidRPr="00024704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024704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552" w:type="dxa"/>
            <w:hideMark/>
          </w:tcPr>
          <w:p w:rsidR="006F2F06" w:rsidRPr="00024704" w:rsidRDefault="007A1A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772</w:t>
            </w:r>
          </w:p>
        </w:tc>
        <w:tc>
          <w:tcPr>
            <w:tcW w:w="2828" w:type="dxa"/>
          </w:tcPr>
          <w:p w:rsidR="006F2F06" w:rsidRPr="00024704" w:rsidRDefault="007A1A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100,00%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8D1C30" w:rsidRDefault="008D1C30" w:rsidP="006F2F06">
      <w:pPr>
        <w:spacing w:after="0" w:line="240" w:lineRule="auto"/>
        <w:rPr>
          <w:rFonts w:ascii="Arial" w:hAnsi="Arial" w:cs="Arial"/>
          <w:b/>
          <w:u w:val="single"/>
        </w:rPr>
      </w:pPr>
    </w:p>
    <w:p w:rsidR="006F2F06" w:rsidRPr="00A250B4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 w:rsidR="007A1A53">
        <w:rPr>
          <w:rFonts w:ascii="Arial" w:hAnsi="Arial" w:cs="Arial"/>
        </w:rPr>
        <w:t xml:space="preserve">886 </w:t>
      </w:r>
      <w:r w:rsidRPr="001079BC">
        <w:rPr>
          <w:rFonts w:ascii="Arial" w:hAnsi="Arial" w:cs="Arial"/>
        </w:rPr>
        <w:t xml:space="preserve">ciudadanos, que representan el </w:t>
      </w:r>
      <w:r>
        <w:rPr>
          <w:rFonts w:ascii="Arial" w:hAnsi="Arial" w:cs="Arial"/>
        </w:rPr>
        <w:t>2</w:t>
      </w:r>
      <w:r w:rsidR="007A1A53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12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</w:t>
      </w:r>
      <w:r w:rsidR="007A1A53">
        <w:rPr>
          <w:rFonts w:ascii="Arial" w:hAnsi="Arial" w:cs="Arial"/>
        </w:rPr>
        <w:t>e acercaron a la CVP durante jul</w:t>
      </w:r>
      <w:r>
        <w:rPr>
          <w:rFonts w:ascii="Arial" w:hAnsi="Arial" w:cs="Arial"/>
        </w:rPr>
        <w:t>io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 w:rsidR="00901869">
        <w:rPr>
          <w:rFonts w:ascii="Arial" w:hAnsi="Arial" w:cs="Arial"/>
        </w:rPr>
        <w:t>78</w:t>
      </w:r>
      <w:r w:rsidR="007A1A53"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18</w:t>
      </w:r>
      <w:r w:rsidRPr="001079BC">
        <w:rPr>
          <w:rFonts w:ascii="Arial" w:hAnsi="Arial" w:cs="Arial"/>
        </w:rPr>
        <w:t>% (</w:t>
      </w:r>
      <w:r w:rsidR="007A1A53">
        <w:rPr>
          <w:rFonts w:ascii="Arial" w:hAnsi="Arial" w:cs="Arial"/>
        </w:rPr>
        <w:t>677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2</w:t>
      </w:r>
      <w:r w:rsidR="00901869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82</w:t>
      </w:r>
      <w:r>
        <w:rPr>
          <w:rFonts w:ascii="Arial" w:hAnsi="Arial" w:cs="Arial"/>
        </w:rPr>
        <w:t>%</w:t>
      </w:r>
      <w:r w:rsidR="00901869">
        <w:rPr>
          <w:rFonts w:ascii="Arial" w:hAnsi="Arial" w:cs="Arial"/>
        </w:rPr>
        <w:t xml:space="preserve"> (189)</w:t>
      </w:r>
      <w:r>
        <w:rPr>
          <w:rFonts w:ascii="Arial" w:hAnsi="Arial" w:cs="Arial"/>
        </w:rPr>
        <w:t xml:space="preserve"> de los usuarios, se acercaron a la Entidad con el fin de solicitar asistencia técnica para la obtención de licencias de construcción o actos de reconocimiento.</w:t>
      </w:r>
    </w:p>
    <w:p w:rsidR="003D199E" w:rsidRDefault="003D199E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2602"/>
        <w:gridCol w:w="1651"/>
      </w:tblGrid>
      <w:tr w:rsidR="006F2F06" w:rsidRPr="008505C9" w:rsidTr="00F2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6F2F06" w:rsidRPr="008505C9" w:rsidTr="00F20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6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3D199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7A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3D199E" w:rsidRDefault="003D199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3D199E">
              <w:rPr>
                <w:rFonts w:eastAsia="Times New Roman"/>
                <w:b w:val="0"/>
                <w:color w:val="000000"/>
                <w:lang w:eastAsia="es-CO"/>
              </w:rPr>
              <w:t>Información general de mejoramiento de vivienda</w:t>
            </w:r>
          </w:p>
        </w:tc>
        <w:tc>
          <w:tcPr>
            <w:tcW w:w="2602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7A1A53" w:rsidP="004953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  <w:r w:rsidR="0049537E">
              <w:rPr>
                <w:rFonts w:eastAsia="Times New Roman"/>
                <w:color w:val="000000"/>
                <w:lang w:eastAsia="es-CO"/>
              </w:rPr>
              <w:t>97</w:t>
            </w:r>
          </w:p>
        </w:tc>
        <w:tc>
          <w:tcPr>
            <w:tcW w:w="1651" w:type="dxa"/>
            <w:tcBorders>
              <w:top w:val="single" w:sz="4" w:space="0" w:color="FFFFFF" w:themeColor="background1"/>
            </w:tcBorders>
            <w:noWrap/>
          </w:tcPr>
          <w:p w:rsidR="006F2F06" w:rsidRPr="008505C9" w:rsidRDefault="00901869" w:rsidP="0049537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78</w:t>
            </w:r>
            <w:r w:rsidR="007A1A53">
              <w:rPr>
                <w:rFonts w:eastAsia="Times New Roman"/>
                <w:color w:val="000000"/>
                <w:lang w:eastAsia="es-CO"/>
              </w:rPr>
              <w:t>,</w:t>
            </w:r>
            <w:r w:rsidR="0049537E">
              <w:rPr>
                <w:rFonts w:eastAsia="Times New Roman"/>
                <w:color w:val="000000"/>
                <w:lang w:eastAsia="es-CO"/>
              </w:rPr>
              <w:t>67</w:t>
            </w:r>
            <w:r w:rsidR="007A1A53"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6F2F06" w:rsidRPr="008505C9" w:rsidTr="007A1A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:rsidR="006F2F06" w:rsidRPr="003D199E" w:rsidRDefault="003D199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3D199E">
              <w:rPr>
                <w:rFonts w:eastAsia="Times New Roman"/>
                <w:b w:val="0"/>
                <w:color w:val="000000"/>
                <w:lang w:eastAsia="es-CO"/>
              </w:rPr>
              <w:t>Asistencia técnica</w:t>
            </w:r>
          </w:p>
        </w:tc>
        <w:tc>
          <w:tcPr>
            <w:tcW w:w="2602" w:type="dxa"/>
            <w:noWrap/>
            <w:hideMark/>
          </w:tcPr>
          <w:p w:rsidR="006F2F06" w:rsidRPr="008505C9" w:rsidRDefault="007A1A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189</w:t>
            </w:r>
          </w:p>
        </w:tc>
        <w:tc>
          <w:tcPr>
            <w:tcW w:w="1651" w:type="dxa"/>
            <w:noWrap/>
          </w:tcPr>
          <w:p w:rsidR="006F2F06" w:rsidRPr="008505C9" w:rsidRDefault="007A1A53" w:rsidP="0049537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  <w:r w:rsidR="00901869">
              <w:rPr>
                <w:rFonts w:eastAsia="Times New Roman"/>
                <w:color w:val="000000"/>
                <w:lang w:eastAsia="es-CO"/>
              </w:rPr>
              <w:t>1</w:t>
            </w:r>
            <w:r>
              <w:rPr>
                <w:rFonts w:eastAsia="Times New Roman"/>
                <w:color w:val="000000"/>
                <w:lang w:eastAsia="es-CO"/>
              </w:rPr>
              <w:t>,</w:t>
            </w:r>
            <w:r w:rsidR="0049537E">
              <w:rPr>
                <w:rFonts w:eastAsia="Times New Roman"/>
                <w:color w:val="000000"/>
                <w:lang w:eastAsia="es-CO"/>
              </w:rPr>
              <w:t>33</w:t>
            </w:r>
            <w:r>
              <w:rPr>
                <w:rFonts w:eastAsia="Times New Roman"/>
                <w:color w:val="000000"/>
                <w:lang w:eastAsia="es-CO"/>
              </w:rPr>
              <w:t>%</w:t>
            </w:r>
          </w:p>
        </w:tc>
      </w:tr>
      <w:tr w:rsidR="006F2F06" w:rsidRPr="008505C9" w:rsidTr="007A1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602" w:type="dxa"/>
            <w:hideMark/>
          </w:tcPr>
          <w:p w:rsidR="006F2F06" w:rsidRPr="008505C9" w:rsidRDefault="007A1A53" w:rsidP="00502B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8</w:t>
            </w:r>
            <w:r w:rsidR="00502B4B">
              <w:rPr>
                <w:rFonts w:eastAsia="Times New Roman"/>
                <w:b/>
                <w:bCs/>
                <w:lang w:eastAsia="es-CO"/>
              </w:rPr>
              <w:t>86</w:t>
            </w:r>
          </w:p>
        </w:tc>
        <w:tc>
          <w:tcPr>
            <w:tcW w:w="1651" w:type="dxa"/>
          </w:tcPr>
          <w:p w:rsidR="006F2F06" w:rsidRPr="008505C9" w:rsidRDefault="007A1A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100,00%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bookmarkStart w:id="1" w:name="_GoBack"/>
      <w:bookmarkEnd w:id="1"/>
    </w:p>
    <w:p w:rsidR="00F46FB5" w:rsidRDefault="00F46FB5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Pr="000B04ED" w:rsidRDefault="006F2F06" w:rsidP="006F2F06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Default="006F2F06" w:rsidP="00C902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 w:rsidR="00E23553">
        <w:rPr>
          <w:rFonts w:ascii="Arial" w:hAnsi="Arial" w:cs="Arial"/>
        </w:rPr>
        <w:t>el mes de jul</w:t>
      </w:r>
      <w:r>
        <w:rPr>
          <w:rFonts w:ascii="Arial" w:hAnsi="Arial" w:cs="Arial"/>
        </w:rPr>
        <w:t>io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 xml:space="preserve">eron </w:t>
      </w:r>
      <w:r w:rsidR="00E23553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:rsidR="00C9021F" w:rsidRDefault="00C9021F" w:rsidP="00C902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00"/>
        <w:gridCol w:w="2430"/>
        <w:gridCol w:w="2126"/>
      </w:tblGrid>
      <w:tr w:rsidR="006F2F06" w:rsidRPr="008505C9" w:rsidTr="00C90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6F2F06" w:rsidRPr="008505C9" w:rsidTr="00C902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C902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64715" w:rsidRDefault="00561A19" w:rsidP="00C9021F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>
              <w:rPr>
                <w:rFonts w:eastAsia="Times New Roman"/>
                <w:b w:val="0"/>
                <w:color w:val="000000"/>
                <w:lang w:eastAsia="es-CO"/>
              </w:rPr>
              <w:t>I</w:t>
            </w:r>
            <w:r w:rsidRPr="00B64715">
              <w:rPr>
                <w:rFonts w:eastAsia="Times New Roman"/>
                <w:b w:val="0"/>
                <w:color w:val="000000"/>
                <w:lang w:eastAsia="es-CO"/>
              </w:rPr>
              <w:t>nformación</w:t>
            </w:r>
            <w:r w:rsidR="006506FD" w:rsidRPr="00B64715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E23553" w:rsidP="00C902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13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6F2F06" w:rsidRPr="008505C9" w:rsidTr="00C902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30" w:type="dxa"/>
            <w:hideMark/>
          </w:tcPr>
          <w:p w:rsidR="006F2F06" w:rsidRPr="008505C9" w:rsidRDefault="00E23553" w:rsidP="00C902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13</w:t>
            </w:r>
          </w:p>
        </w:tc>
        <w:tc>
          <w:tcPr>
            <w:tcW w:w="2126" w:type="dxa"/>
            <w:hideMark/>
          </w:tcPr>
          <w:p w:rsidR="006F2F06" w:rsidRPr="008505C9" w:rsidRDefault="006F2F06" w:rsidP="00C9021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F46FB5" w:rsidRDefault="00F46FB5" w:rsidP="006F2F06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6F2F06" w:rsidRPr="00E56F1D" w:rsidRDefault="006F2F06" w:rsidP="006F2F06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lastRenderedPageBreak/>
        <w:t xml:space="preserve">La Subdirección Financiera atendió a </w:t>
      </w:r>
      <w:r w:rsidR="00901869">
        <w:rPr>
          <w:rFonts w:ascii="Arial" w:hAnsi="Arial" w:cs="Arial"/>
        </w:rPr>
        <w:t>82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2,4</w:t>
      </w:r>
      <w:r w:rsidR="00901869">
        <w:rPr>
          <w:rFonts w:ascii="Arial" w:hAnsi="Arial" w:cs="Arial"/>
        </w:rPr>
        <w:t>2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</w:t>
      </w:r>
      <w:r w:rsidR="00A110A1">
        <w:rPr>
          <w:rFonts w:ascii="Arial" w:hAnsi="Arial" w:cs="Arial"/>
        </w:rPr>
        <w:t>danos atendidos en el mes de jul</w:t>
      </w:r>
      <w:r>
        <w:rPr>
          <w:rFonts w:ascii="Arial" w:hAnsi="Arial" w:cs="Arial"/>
        </w:rPr>
        <w:t>io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 xml:space="preserve">, </w:t>
      </w:r>
      <w:r w:rsidR="00901869">
        <w:rPr>
          <w:rFonts w:ascii="Arial" w:hAnsi="Arial" w:cs="Arial"/>
        </w:rPr>
        <w:t>25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901869">
        <w:rPr>
          <w:rFonts w:ascii="Arial" w:hAnsi="Arial" w:cs="Arial"/>
        </w:rPr>
        <w:t>30,49</w:t>
      </w:r>
      <w:r>
        <w:rPr>
          <w:rFonts w:ascii="Arial" w:hAnsi="Arial" w:cs="Arial"/>
        </w:rPr>
        <w:t xml:space="preserve">%),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 xml:space="preserve">general del estado de cartera, </w:t>
      </w:r>
      <w:r w:rsidR="00901869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(</w:t>
      </w:r>
      <w:r w:rsidR="00901869">
        <w:rPr>
          <w:rFonts w:ascii="Arial" w:hAnsi="Arial" w:cs="Arial"/>
        </w:rPr>
        <w:t>19</w:t>
      </w:r>
      <w:r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%) solicitaron información general sobre el proceso, </w:t>
      </w:r>
      <w:r w:rsidR="00901869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(</w:t>
      </w:r>
      <w:r w:rsidR="00901869">
        <w:rPr>
          <w:rFonts w:ascii="Arial" w:hAnsi="Arial" w:cs="Arial"/>
        </w:rPr>
        <w:t>31,71</w:t>
      </w:r>
      <w:r>
        <w:rPr>
          <w:rFonts w:ascii="Arial" w:hAnsi="Arial" w:cs="Arial"/>
        </w:rPr>
        <w:t xml:space="preserve">%) se acercaron a suscribir acuerdos de pago, </w:t>
      </w:r>
      <w:r w:rsidR="00901869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(</w:t>
      </w:r>
      <w:r w:rsidR="00901869">
        <w:rPr>
          <w:rFonts w:ascii="Arial" w:hAnsi="Arial" w:cs="Arial"/>
        </w:rPr>
        <w:t>12,20</w:t>
      </w:r>
      <w:r>
        <w:rPr>
          <w:rFonts w:ascii="Arial" w:hAnsi="Arial" w:cs="Arial"/>
        </w:rPr>
        <w:t xml:space="preserve">%) se acercaron para expedición de paz y salvos y </w:t>
      </w:r>
      <w:r w:rsidR="009018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</w:t>
      </w:r>
      <w:r w:rsidR="00901869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="00901869">
        <w:rPr>
          <w:rFonts w:ascii="Arial" w:hAnsi="Arial" w:cs="Arial"/>
        </w:rPr>
        <w:t>10</w:t>
      </w:r>
      <w:r>
        <w:rPr>
          <w:rFonts w:ascii="Arial" w:hAnsi="Arial" w:cs="Arial"/>
        </w:rPr>
        <w:t>%), para solicitar la impresión y entrega de talonarios con recibos de pago de la obligación.</w:t>
      </w:r>
    </w:p>
    <w:p w:rsidR="00422ADE" w:rsidRDefault="00422ADE" w:rsidP="006F2F06">
      <w:pPr>
        <w:spacing w:after="0" w:line="240" w:lineRule="auto"/>
        <w:jc w:val="both"/>
        <w:rPr>
          <w:rFonts w:ascii="Arial" w:hAnsi="Arial" w:cs="Arial"/>
        </w:rPr>
      </w:pPr>
    </w:p>
    <w:p w:rsidR="00F46FB5" w:rsidRDefault="00F46FB5" w:rsidP="006F2F06">
      <w:pPr>
        <w:spacing w:after="0" w:line="240" w:lineRule="auto"/>
        <w:jc w:val="both"/>
        <w:rPr>
          <w:rFonts w:ascii="Arial" w:hAnsi="Arial" w:cs="Arial"/>
        </w:rPr>
      </w:pPr>
    </w:p>
    <w:p w:rsidR="00F46FB5" w:rsidRDefault="00F46FB5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00"/>
        <w:gridCol w:w="2430"/>
        <w:gridCol w:w="2126"/>
      </w:tblGrid>
      <w:tr w:rsidR="006F2F06" w:rsidRPr="008505C9" w:rsidTr="00422A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SUBDIRECCIÓN FINANCIERA (Cartera)</w:t>
            </w:r>
          </w:p>
        </w:tc>
      </w:tr>
      <w:tr w:rsidR="006F2F06" w:rsidRPr="008505C9" w:rsidTr="000A3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8505C9" w:rsidTr="00E2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Información estado de cuenta</w:t>
            </w:r>
          </w:p>
        </w:tc>
        <w:tc>
          <w:tcPr>
            <w:tcW w:w="2430" w:type="dxa"/>
            <w:tcBorders>
              <w:top w:val="single" w:sz="4" w:space="0" w:color="FFFFFF" w:themeColor="background1"/>
            </w:tcBorders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25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30,49%</w:t>
            </w:r>
          </w:p>
        </w:tc>
      </w:tr>
      <w:tr w:rsidR="006F2F06" w:rsidRPr="008505C9" w:rsidTr="00E23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2430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2126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19,51%</w:t>
            </w:r>
          </w:p>
        </w:tc>
      </w:tr>
      <w:tr w:rsidR="006F2F06" w:rsidRPr="008505C9" w:rsidTr="00E2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Acuerdo de pago</w:t>
            </w:r>
          </w:p>
        </w:tc>
        <w:tc>
          <w:tcPr>
            <w:tcW w:w="2430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26</w:t>
            </w:r>
          </w:p>
        </w:tc>
        <w:tc>
          <w:tcPr>
            <w:tcW w:w="2126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31,71%</w:t>
            </w:r>
          </w:p>
        </w:tc>
      </w:tr>
      <w:tr w:rsidR="006F2F06" w:rsidRPr="008505C9" w:rsidTr="00E23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Expedición de paz y salvos</w:t>
            </w:r>
          </w:p>
        </w:tc>
        <w:tc>
          <w:tcPr>
            <w:tcW w:w="2430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2126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12,20%</w:t>
            </w:r>
          </w:p>
        </w:tc>
      </w:tr>
      <w:tr w:rsidR="006F2F06" w:rsidRPr="008505C9" w:rsidTr="00E235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noWrap/>
            <w:hideMark/>
          </w:tcPr>
          <w:p w:rsidR="006F2F06" w:rsidRPr="00422ADE" w:rsidRDefault="00422ADE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422ADE">
              <w:rPr>
                <w:rFonts w:eastAsia="Times New Roman"/>
                <w:b w:val="0"/>
                <w:color w:val="000000"/>
                <w:lang w:eastAsia="es-CO"/>
              </w:rPr>
              <w:t>Impresión talonario</w:t>
            </w:r>
          </w:p>
        </w:tc>
        <w:tc>
          <w:tcPr>
            <w:tcW w:w="2430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2126" w:type="dxa"/>
            <w:noWrap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6,10%</w:t>
            </w:r>
          </w:p>
        </w:tc>
      </w:tr>
      <w:tr w:rsidR="006F2F06" w:rsidRPr="008505C9" w:rsidTr="00E235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0" w:type="dxa"/>
            <w:hideMark/>
          </w:tcPr>
          <w:p w:rsidR="006F2F06" w:rsidRPr="008505C9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30" w:type="dxa"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82</w:t>
            </w:r>
          </w:p>
        </w:tc>
        <w:tc>
          <w:tcPr>
            <w:tcW w:w="2126" w:type="dxa"/>
          </w:tcPr>
          <w:p w:rsidR="006F2F06" w:rsidRPr="008505C9" w:rsidRDefault="00E23553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100,00%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EB70CE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Jurídica atendió a </w:t>
      </w:r>
      <w:r w:rsidR="00A469C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ciudadanos </w:t>
      </w:r>
      <w:r w:rsidRPr="00DF7DE5">
        <w:rPr>
          <w:rFonts w:ascii="Arial" w:hAnsi="Arial" w:cs="Arial"/>
        </w:rPr>
        <w:t>que equivale al 0,</w:t>
      </w:r>
      <w:r w:rsidR="00A469C5">
        <w:rPr>
          <w:rFonts w:ascii="Arial" w:hAnsi="Arial" w:cs="Arial"/>
        </w:rPr>
        <w:t>12</w:t>
      </w:r>
      <w:r w:rsidRPr="00DF7DE5">
        <w:rPr>
          <w:rFonts w:ascii="Arial" w:hAnsi="Arial" w:cs="Arial"/>
        </w:rPr>
        <w:t>% del total de la población</w:t>
      </w:r>
      <w:r>
        <w:rPr>
          <w:rFonts w:ascii="Arial" w:hAnsi="Arial" w:cs="Arial"/>
        </w:rPr>
        <w:t xml:space="preserve"> y l</w:t>
      </w:r>
      <w:r w:rsidRPr="00DF7DE5">
        <w:rPr>
          <w:rFonts w:ascii="Arial" w:hAnsi="Arial" w:cs="Arial"/>
        </w:rPr>
        <w:t xml:space="preserve">a Dirección </w:t>
      </w:r>
      <w:r>
        <w:rPr>
          <w:rFonts w:ascii="Arial" w:hAnsi="Arial" w:cs="Arial"/>
        </w:rPr>
        <w:t>de Gestión Corporativa y CID</w:t>
      </w:r>
      <w:r w:rsidRPr="00DF7DE5">
        <w:rPr>
          <w:rFonts w:ascii="Arial" w:hAnsi="Arial" w:cs="Arial"/>
        </w:rPr>
        <w:t>, atendi</w:t>
      </w:r>
      <w:r>
        <w:rPr>
          <w:rFonts w:ascii="Arial" w:hAnsi="Arial" w:cs="Arial"/>
        </w:rPr>
        <w:t>ó</w:t>
      </w:r>
      <w:r w:rsidRPr="00DF7DE5">
        <w:rPr>
          <w:rFonts w:ascii="Arial" w:hAnsi="Arial" w:cs="Arial"/>
        </w:rPr>
        <w:t xml:space="preserve"> a </w:t>
      </w:r>
      <w:r w:rsidR="00A469C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ciudadanos </w:t>
      </w:r>
      <w:r w:rsidRPr="00DF7DE5">
        <w:rPr>
          <w:rFonts w:ascii="Arial" w:hAnsi="Arial" w:cs="Arial"/>
        </w:rPr>
        <w:t>que equivale al 0,0</w:t>
      </w:r>
      <w:r w:rsidR="00A469C5">
        <w:rPr>
          <w:rFonts w:ascii="Arial" w:hAnsi="Arial" w:cs="Arial"/>
        </w:rPr>
        <w:t>3</w:t>
      </w:r>
      <w:r w:rsidRPr="00DF7DE5">
        <w:rPr>
          <w:rFonts w:ascii="Arial" w:hAnsi="Arial" w:cs="Arial"/>
        </w:rPr>
        <w:t xml:space="preserve">% del total de la población.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E1755" w:rsidRDefault="000E1755" w:rsidP="006F2F0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F2F06" w:rsidRPr="003740CE" w:rsidRDefault="006F2F06" w:rsidP="006F2F06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b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 w:rsidR="003E146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A7BB8">
        <w:rPr>
          <w:rFonts w:ascii="Arial" w:hAnsi="Arial" w:cs="Arial"/>
        </w:rPr>
        <w:t>392</w:t>
      </w:r>
      <w:r w:rsidRPr="001079BC">
        <w:rPr>
          <w:rFonts w:ascii="Arial" w:hAnsi="Arial" w:cs="Arial"/>
        </w:rPr>
        <w:t xml:space="preserve"> ciudadanos que se acercaron a la entidad, el </w:t>
      </w:r>
      <w:r w:rsidR="007A7BB8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7A7BB8">
        <w:rPr>
          <w:rFonts w:ascii="Arial" w:hAnsi="Arial" w:cs="Arial"/>
        </w:rPr>
        <w:t>92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3E146D">
        <w:rPr>
          <w:rFonts w:ascii="Arial" w:hAnsi="Arial" w:cs="Arial"/>
        </w:rPr>
        <w:t>33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7</w:t>
      </w:r>
      <w:r w:rsidR="007A7BB8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  <w:r w:rsidR="007A7BB8">
        <w:rPr>
          <w:rFonts w:ascii="Arial" w:hAnsi="Arial" w:cs="Arial"/>
        </w:rPr>
        <w:t>44</w:t>
      </w:r>
      <w:r w:rsidRPr="001079BC">
        <w:rPr>
          <w:rFonts w:ascii="Arial" w:hAnsi="Arial" w:cs="Arial"/>
        </w:rPr>
        <w:t>% (</w:t>
      </w:r>
      <w:r w:rsidR="007A7BB8">
        <w:rPr>
          <w:rFonts w:ascii="Arial" w:hAnsi="Arial" w:cs="Arial"/>
        </w:rPr>
        <w:t>103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835"/>
        <w:gridCol w:w="2551"/>
        <w:gridCol w:w="1970"/>
      </w:tblGrid>
      <w:tr w:rsidR="006F2F06" w:rsidTr="0083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6F2F06" w:rsidTr="00830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Default="006F2F06" w:rsidP="00B0170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6F2F06" w:rsidTr="003E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reasentamientos</w:t>
            </w:r>
          </w:p>
        </w:tc>
        <w:tc>
          <w:tcPr>
            <w:tcW w:w="2551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103</w:t>
            </w:r>
          </w:p>
        </w:tc>
        <w:tc>
          <w:tcPr>
            <w:tcW w:w="1970" w:type="dxa"/>
            <w:tcBorders>
              <w:top w:val="single" w:sz="4" w:space="0" w:color="FFFFFF" w:themeColor="background1"/>
            </w:tcBorders>
            <w:noWrap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77,44%</w:t>
            </w:r>
          </w:p>
        </w:tc>
      </w:tr>
      <w:tr w:rsidR="006F2F06" w:rsidTr="003E1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mejoramiento de vivienda</w:t>
            </w:r>
          </w:p>
        </w:tc>
        <w:tc>
          <w:tcPr>
            <w:tcW w:w="2551" w:type="dxa"/>
            <w:noWrap/>
            <w:hideMark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1970" w:type="dxa"/>
            <w:noWrap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15,04%</w:t>
            </w:r>
          </w:p>
        </w:tc>
      </w:tr>
      <w:tr w:rsidR="006F2F06" w:rsidTr="003E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830733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Dirección</w:t>
            </w:r>
            <w:r w:rsidR="00B01702" w:rsidRPr="00B01702">
              <w:rPr>
                <w:rFonts w:eastAsia="Times New Roman"/>
                <w:b w:val="0"/>
                <w:color w:val="000000"/>
                <w:lang w:eastAsia="es-CO"/>
              </w:rPr>
              <w:t xml:space="preserve"> de urbanizaciones y </w:t>
            </w:r>
            <w:r w:rsidRPr="00B01702">
              <w:rPr>
                <w:rFonts w:eastAsia="Times New Roman"/>
                <w:b w:val="0"/>
                <w:color w:val="000000"/>
                <w:lang w:eastAsia="es-CO"/>
              </w:rPr>
              <w:t>titulación</w:t>
            </w:r>
          </w:p>
        </w:tc>
        <w:tc>
          <w:tcPr>
            <w:tcW w:w="2551" w:type="dxa"/>
            <w:noWrap/>
            <w:hideMark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10</w:t>
            </w:r>
          </w:p>
        </w:tc>
        <w:tc>
          <w:tcPr>
            <w:tcW w:w="1970" w:type="dxa"/>
            <w:noWrap/>
          </w:tcPr>
          <w:p w:rsidR="006F2F06" w:rsidRPr="004F65D7" w:rsidRDefault="003E146D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7,52%</w:t>
            </w:r>
          </w:p>
        </w:tc>
      </w:tr>
      <w:tr w:rsidR="006F2F06" w:rsidTr="003E146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noWrap/>
            <w:hideMark/>
          </w:tcPr>
          <w:p w:rsidR="006F2F06" w:rsidRPr="00B01702" w:rsidRDefault="003E146D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647DD3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551" w:type="dxa"/>
            <w:noWrap/>
            <w:hideMark/>
          </w:tcPr>
          <w:p w:rsidR="006F2F06" w:rsidRPr="003E146D" w:rsidRDefault="003E146D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 w:rsidRPr="003E146D">
              <w:rPr>
                <w:rFonts w:eastAsia="Times New Roman"/>
                <w:b/>
                <w:color w:val="000000"/>
                <w:lang w:eastAsia="es-CO"/>
              </w:rPr>
              <w:t>133</w:t>
            </w:r>
          </w:p>
        </w:tc>
        <w:tc>
          <w:tcPr>
            <w:tcW w:w="1970" w:type="dxa"/>
            <w:noWrap/>
          </w:tcPr>
          <w:p w:rsidR="006F2F06" w:rsidRPr="003E146D" w:rsidRDefault="003E146D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color w:val="000000"/>
                <w:lang w:eastAsia="es-CO"/>
              </w:rPr>
            </w:pPr>
            <w:r w:rsidRPr="003E146D">
              <w:rPr>
                <w:rFonts w:eastAsia="Times New Roman"/>
                <w:b/>
                <w:color w:val="000000"/>
                <w:lang w:eastAsia="es-CO"/>
              </w:rPr>
              <w:t>100,00%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lastRenderedPageBreak/>
        <w:t xml:space="preserve"> 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A4896" w:rsidRDefault="003A489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6F2F06" w:rsidRPr="001079BC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D62DD6">
        <w:rPr>
          <w:rFonts w:ascii="Arial" w:hAnsi="Arial" w:cs="Arial"/>
        </w:rPr>
        <w:t>De los 1</w:t>
      </w:r>
      <w:r w:rsidR="00041AF6" w:rsidRPr="00D62DD6">
        <w:rPr>
          <w:rFonts w:ascii="Arial" w:hAnsi="Arial" w:cs="Arial"/>
        </w:rPr>
        <w:t>33</w:t>
      </w:r>
      <w:r w:rsidRPr="00D62DD6">
        <w:rPr>
          <w:rFonts w:ascii="Arial" w:hAnsi="Arial" w:cs="Arial"/>
        </w:rPr>
        <w:t xml:space="preserve"> ciudadanos con atención prioritaria en el mes de </w:t>
      </w:r>
      <w:r w:rsidR="00041AF6" w:rsidRPr="00D62DD6">
        <w:rPr>
          <w:rFonts w:ascii="Arial" w:hAnsi="Arial" w:cs="Arial"/>
        </w:rPr>
        <w:t>jul</w:t>
      </w:r>
      <w:r w:rsidRPr="00D62DD6">
        <w:rPr>
          <w:rFonts w:ascii="Arial" w:hAnsi="Arial" w:cs="Arial"/>
        </w:rPr>
        <w:t>io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 w:rsidR="00D62DD6">
        <w:rPr>
          <w:rFonts w:ascii="Arial" w:hAnsi="Arial" w:cs="Arial"/>
        </w:rPr>
        <w:t>7</w:t>
      </w:r>
      <w:r w:rsidR="00387C4A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</w:t>
      </w:r>
      <w:r w:rsidR="00D62DD6">
        <w:rPr>
          <w:rFonts w:ascii="Arial" w:hAnsi="Arial" w:cs="Arial"/>
        </w:rPr>
        <w:t>7</w:t>
      </w:r>
      <w:r w:rsidRPr="00D46675">
        <w:rPr>
          <w:rFonts w:ascii="Arial" w:hAnsi="Arial" w:cs="Arial"/>
        </w:rPr>
        <w:t>,</w:t>
      </w:r>
      <w:r w:rsidR="00D62DD6">
        <w:rPr>
          <w:rFonts w:ascii="Arial" w:hAnsi="Arial" w:cs="Arial"/>
        </w:rPr>
        <w:t>89</w:t>
      </w:r>
      <w:r w:rsidRPr="001079BC">
        <w:rPr>
          <w:rFonts w:ascii="Arial" w:hAnsi="Arial" w:cs="Arial"/>
        </w:rPr>
        <w:t>%).</w:t>
      </w:r>
    </w:p>
    <w:p w:rsidR="006F2F06" w:rsidRDefault="006F2F06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87C4A" w:rsidRDefault="00387C4A" w:rsidP="006F2F0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4-nfasis11"/>
        <w:tblW w:w="9512" w:type="dxa"/>
        <w:tblInd w:w="108" w:type="dxa"/>
        <w:tblLook w:val="04A0" w:firstRow="1" w:lastRow="0" w:firstColumn="1" w:lastColumn="0" w:noHBand="0" w:noVBand="1"/>
      </w:tblPr>
      <w:tblGrid>
        <w:gridCol w:w="4962"/>
        <w:gridCol w:w="2409"/>
        <w:gridCol w:w="2127"/>
        <w:gridCol w:w="14"/>
      </w:tblGrid>
      <w:tr w:rsidR="006F2F06" w:rsidRPr="00E80F57" w:rsidTr="00761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6F2F06" w:rsidRPr="00E80F57" w:rsidTr="001F1FD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CIUDADANO PRIORITARIO</w:t>
            </w:r>
          </w:p>
        </w:tc>
        <w:tc>
          <w:tcPr>
            <w:tcW w:w="24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6F2F06" w:rsidRPr="00E80F57" w:rsidRDefault="006F2F06" w:rsidP="00761B4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PORCENTAJE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</w:tcBorders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2409" w:type="dxa"/>
            <w:tcBorders>
              <w:top w:val="single" w:sz="4" w:space="0" w:color="FFFFFF" w:themeColor="background1"/>
            </w:tcBorders>
            <w:noWrap/>
          </w:tcPr>
          <w:p w:rsidR="006F2F06" w:rsidRPr="00E80F57" w:rsidRDefault="00041AF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77</w:t>
            </w:r>
          </w:p>
        </w:tc>
        <w:tc>
          <w:tcPr>
            <w:tcW w:w="2127" w:type="dxa"/>
            <w:tcBorders>
              <w:top w:val="single" w:sz="4" w:space="0" w:color="FFFFFF" w:themeColor="background1"/>
            </w:tcBorders>
            <w:noWrap/>
          </w:tcPr>
          <w:p w:rsidR="006F2F06" w:rsidRPr="00E80F57" w:rsidRDefault="00D62DD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57,89%</w:t>
            </w:r>
          </w:p>
        </w:tc>
      </w:tr>
      <w:tr w:rsidR="006F2F06" w:rsidRPr="00E80F57" w:rsidTr="001F1FDD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2409" w:type="dxa"/>
            <w:noWrap/>
          </w:tcPr>
          <w:p w:rsidR="006F2F06" w:rsidRPr="00E80F57" w:rsidRDefault="00041AF6" w:rsidP="00766E3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2127" w:type="dxa"/>
            <w:noWrap/>
          </w:tcPr>
          <w:p w:rsidR="006F2F06" w:rsidRPr="00E80F57" w:rsidRDefault="00D62DD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15,04%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  <w:hideMark/>
          </w:tcPr>
          <w:p w:rsidR="006F2F06" w:rsidRPr="00761B46" w:rsidRDefault="006F2F0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Discapacitados/as (</w:t>
            </w:r>
            <w:r w:rsidR="00766E35">
              <w:rPr>
                <w:rFonts w:eastAsia="Times New Roman"/>
                <w:b w:val="0"/>
                <w:color w:val="000000"/>
                <w:lang w:eastAsia="es-CO"/>
              </w:rPr>
              <w:t xml:space="preserve">no </w:t>
            </w: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certificado)</w:t>
            </w:r>
          </w:p>
        </w:tc>
        <w:tc>
          <w:tcPr>
            <w:tcW w:w="2409" w:type="dxa"/>
            <w:noWrap/>
          </w:tcPr>
          <w:p w:rsidR="006F2F06" w:rsidRPr="00E80F57" w:rsidRDefault="00041AF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21</w:t>
            </w:r>
          </w:p>
        </w:tc>
        <w:tc>
          <w:tcPr>
            <w:tcW w:w="2127" w:type="dxa"/>
            <w:noWrap/>
          </w:tcPr>
          <w:p w:rsidR="006F2F06" w:rsidRPr="00E80F57" w:rsidRDefault="00D62DD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15,79%</w:t>
            </w:r>
          </w:p>
        </w:tc>
      </w:tr>
      <w:tr w:rsidR="00041AF6" w:rsidRPr="00E80F57" w:rsidTr="001F1FDD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:rsidR="00041AF6" w:rsidRPr="00041AF6" w:rsidRDefault="00041AF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AF6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2409" w:type="dxa"/>
            <w:noWrap/>
          </w:tcPr>
          <w:p w:rsidR="00041AF6" w:rsidRDefault="00041AF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2127" w:type="dxa"/>
            <w:noWrap/>
          </w:tcPr>
          <w:p w:rsidR="00041AF6" w:rsidRDefault="00D62DD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4,51%</w:t>
            </w:r>
          </w:p>
        </w:tc>
      </w:tr>
      <w:tr w:rsidR="00766E35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:rsidR="00766E35" w:rsidRPr="00761B46" w:rsidRDefault="00766E35" w:rsidP="00B0661D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61B46">
              <w:rPr>
                <w:rFonts w:eastAsia="Times New Roman"/>
                <w:b w:val="0"/>
                <w:color w:val="000000"/>
                <w:lang w:eastAsia="es-CO"/>
              </w:rPr>
              <w:t>Discapacitados/as (certificado)</w:t>
            </w:r>
          </w:p>
        </w:tc>
        <w:tc>
          <w:tcPr>
            <w:tcW w:w="2409" w:type="dxa"/>
            <w:noWrap/>
          </w:tcPr>
          <w:p w:rsidR="00766E35" w:rsidRDefault="00041AF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2127" w:type="dxa"/>
            <w:noWrap/>
          </w:tcPr>
          <w:p w:rsidR="00766E35" w:rsidRDefault="00D62DD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1,50%</w:t>
            </w:r>
          </w:p>
        </w:tc>
      </w:tr>
      <w:tr w:rsidR="00041AF6" w:rsidRPr="00E80F57" w:rsidTr="001F1FDD">
        <w:trPr>
          <w:gridAfter w:val="1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</w:tcPr>
          <w:p w:rsidR="00041AF6" w:rsidRPr="00041AF6" w:rsidRDefault="00041AF6" w:rsidP="00B0661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041AF6">
              <w:rPr>
                <w:rFonts w:eastAsia="Times New Roman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2409" w:type="dxa"/>
            <w:noWrap/>
          </w:tcPr>
          <w:p w:rsidR="00041AF6" w:rsidRDefault="00041AF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2127" w:type="dxa"/>
            <w:noWrap/>
          </w:tcPr>
          <w:p w:rsidR="00041AF6" w:rsidRDefault="00D62DD6" w:rsidP="00B0661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5,26</w:t>
            </w:r>
          </w:p>
        </w:tc>
      </w:tr>
      <w:tr w:rsidR="006F2F06" w:rsidRPr="00E80F57" w:rsidTr="001F1FD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hideMark/>
          </w:tcPr>
          <w:p w:rsidR="006F2F06" w:rsidRPr="00E80F57" w:rsidRDefault="006F2F06" w:rsidP="00B0661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E80F57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409" w:type="dxa"/>
            <w:hideMark/>
          </w:tcPr>
          <w:p w:rsidR="006F2F06" w:rsidRPr="00E80F57" w:rsidRDefault="00041AF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133</w:t>
            </w:r>
          </w:p>
        </w:tc>
        <w:tc>
          <w:tcPr>
            <w:tcW w:w="2127" w:type="dxa"/>
            <w:hideMark/>
          </w:tcPr>
          <w:p w:rsidR="006F2F06" w:rsidRPr="00E80F57" w:rsidRDefault="006F2F06" w:rsidP="00B0661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E80F57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Default="006F2F06" w:rsidP="006F2F06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6F2F06" w:rsidRPr="005B2EA1" w:rsidRDefault="006F2F06" w:rsidP="006F2F06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</w:p>
    <w:p w:rsidR="003D112B" w:rsidRDefault="003D112B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D62DD6" w:rsidP="006F2F06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noProof/>
          <w:sz w:val="16"/>
          <w:szCs w:val="16"/>
          <w:lang w:eastAsia="es-CO"/>
        </w:rPr>
        <w:lastRenderedPageBreak/>
        <w:drawing>
          <wp:inline distT="0" distB="0" distL="0" distR="0">
            <wp:extent cx="5819775" cy="2552700"/>
            <wp:effectExtent l="0" t="0" r="9525" b="0"/>
            <wp:docPr id="1" name="Imagen 1" descr="C:\Users\rcnarvaez\Desktop\ccccccccccc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narvaez\Desktop\cccccccccccc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F06"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7DA81" wp14:editId="7F964FC4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F06" w:rsidRPr="00A21483" w:rsidRDefault="006F2F06" w:rsidP="006F2F06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6F2F06" w:rsidRPr="00A21483" w:rsidRDefault="006F2F06" w:rsidP="006F2F06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6F2F06" w:rsidRPr="00050FD7" w:rsidRDefault="006F2F06" w:rsidP="006F2F06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Ju</w:t>
      </w:r>
      <w:r w:rsidR="00D62DD6">
        <w:rPr>
          <w:rFonts w:ascii="Arial" w:hAnsi="Arial" w:cs="Arial"/>
          <w:bCs/>
          <w:sz w:val="16"/>
          <w:szCs w:val="16"/>
          <w:lang w:val="es-ES"/>
        </w:rPr>
        <w:t>l</w:t>
      </w:r>
      <w:r>
        <w:rPr>
          <w:rFonts w:ascii="Arial" w:hAnsi="Arial" w:cs="Arial"/>
          <w:bCs/>
          <w:sz w:val="16"/>
          <w:szCs w:val="16"/>
          <w:lang w:val="es-ES"/>
        </w:rPr>
        <w:t>io 2019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6F2F06" w:rsidRDefault="006F2F06" w:rsidP="006F2F06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47F084A" wp14:editId="586DE2E9">
            <wp:extent cx="5955030" cy="3990975"/>
            <wp:effectExtent l="0" t="0" r="2667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I</w:t>
      </w:r>
      <w:r w:rsidR="00A110A1">
        <w:rPr>
          <w:rFonts w:ascii="Arial" w:hAnsi="Arial" w:cs="Arial"/>
          <w:sz w:val="16"/>
          <w:szCs w:val="16"/>
        </w:rPr>
        <w:t>nforme Conmutador del mes de Jul</w:t>
      </w:r>
      <w:r>
        <w:rPr>
          <w:rFonts w:ascii="Arial" w:hAnsi="Arial" w:cs="Arial"/>
          <w:sz w:val="16"/>
          <w:szCs w:val="16"/>
        </w:rPr>
        <w:t>io 2019 discriminado por dependencia.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totalidad de las </w:t>
      </w:r>
      <w:r w:rsidR="00245B22">
        <w:rPr>
          <w:rFonts w:ascii="Arial" w:hAnsi="Arial" w:cs="Arial"/>
        </w:rPr>
        <w:t>90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>, todas</w:t>
      </w:r>
      <w:r w:rsidRPr="001079BC">
        <w:rPr>
          <w:rFonts w:ascii="Arial" w:hAnsi="Arial" w:cs="Arial"/>
        </w:rPr>
        <w:t xml:space="preserve">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 w:rsidR="00FB0F06">
        <w:rPr>
          <w:rFonts w:ascii="Arial" w:hAnsi="Arial" w:cs="Arial"/>
        </w:rPr>
        <w:t>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 w:rsidR="00245B22"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con </w:t>
      </w:r>
      <w:r w:rsidR="00245B22">
        <w:rPr>
          <w:rFonts w:ascii="Arial" w:hAnsi="Arial" w:cs="Arial"/>
        </w:rPr>
        <w:t>41</w:t>
      </w:r>
      <w:r w:rsidRPr="001079BC">
        <w:rPr>
          <w:rFonts w:ascii="Arial" w:hAnsi="Arial" w:cs="Arial"/>
        </w:rPr>
        <w:t xml:space="preserve"> registros telefónicos, lo que representa un </w:t>
      </w:r>
      <w:r w:rsidR="00A668B0">
        <w:rPr>
          <w:rFonts w:ascii="Arial" w:hAnsi="Arial" w:cs="Arial"/>
        </w:rPr>
        <w:t>45</w:t>
      </w:r>
      <w:r w:rsidR="00AC3319">
        <w:rPr>
          <w:rFonts w:ascii="Arial" w:hAnsi="Arial" w:cs="Arial"/>
        </w:rPr>
        <w:t>,5</w:t>
      </w:r>
      <w:r>
        <w:rPr>
          <w:rFonts w:ascii="Arial" w:hAnsi="Arial" w:cs="Arial"/>
        </w:rPr>
        <w:t>6%.</w:t>
      </w: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Default="006F2F06" w:rsidP="006F2F06">
      <w:pPr>
        <w:spacing w:after="0" w:line="240" w:lineRule="auto"/>
        <w:jc w:val="both"/>
        <w:rPr>
          <w:rFonts w:ascii="Arial" w:hAnsi="Arial" w:cs="Arial"/>
        </w:rPr>
      </w:pPr>
    </w:p>
    <w:p w:rsidR="006F2F06" w:rsidRPr="00635E63" w:rsidRDefault="006F2F06" w:rsidP="006F2F06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6F2F06" w:rsidRPr="001079BC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 xml:space="preserve">Para el mes de </w:t>
      </w:r>
      <w:r w:rsidR="00A668B0">
        <w:rPr>
          <w:rFonts w:ascii="Arial" w:hAnsi="Arial" w:cs="Arial"/>
        </w:rPr>
        <w:t>jul</w:t>
      </w:r>
      <w:r>
        <w:rPr>
          <w:rFonts w:ascii="Arial" w:hAnsi="Arial" w:cs="Arial"/>
        </w:rPr>
        <w:t>io</w:t>
      </w:r>
      <w:r w:rsidRPr="006C11FE">
        <w:rPr>
          <w:rFonts w:ascii="Arial" w:hAnsi="Arial" w:cs="Arial"/>
        </w:rPr>
        <w:t xml:space="preserve"> de 2019 a la entidad se acercaron </w:t>
      </w:r>
      <w:r w:rsidR="00601919">
        <w:rPr>
          <w:rFonts w:ascii="Arial" w:hAnsi="Arial" w:cs="Arial"/>
        </w:rPr>
        <w:t>3</w:t>
      </w:r>
      <w:r w:rsidRPr="006C11FE">
        <w:rPr>
          <w:rFonts w:ascii="Arial" w:hAnsi="Arial" w:cs="Arial"/>
        </w:rPr>
        <w:t>.</w:t>
      </w:r>
      <w:r w:rsidR="00601919">
        <w:rPr>
          <w:rFonts w:ascii="Arial" w:hAnsi="Arial" w:cs="Arial"/>
        </w:rPr>
        <w:t>3</w:t>
      </w:r>
      <w:r w:rsidR="007A7BB8">
        <w:rPr>
          <w:rFonts w:ascii="Arial" w:hAnsi="Arial" w:cs="Arial"/>
        </w:rPr>
        <w:t>92</w:t>
      </w:r>
      <w:r w:rsidRPr="006C11FE">
        <w:rPr>
          <w:rFonts w:ascii="Arial" w:hAnsi="Arial" w:cs="Arial"/>
        </w:rPr>
        <w:t xml:space="preserve"> ciudadanos, de los cuales alrededor del </w:t>
      </w:r>
      <w:r>
        <w:rPr>
          <w:rFonts w:ascii="Arial" w:hAnsi="Arial" w:cs="Arial"/>
        </w:rPr>
        <w:t>8</w:t>
      </w:r>
      <w:r w:rsidR="00601919">
        <w:rPr>
          <w:rFonts w:ascii="Arial" w:hAnsi="Arial" w:cs="Arial"/>
        </w:rPr>
        <w:t>6</w:t>
      </w:r>
      <w:r w:rsidRPr="006C11FE">
        <w:rPr>
          <w:rFonts w:ascii="Arial" w:hAnsi="Arial" w:cs="Arial"/>
        </w:rPr>
        <w:t>,</w:t>
      </w:r>
      <w:r w:rsidR="007A7BB8">
        <w:rPr>
          <w:rFonts w:ascii="Arial" w:hAnsi="Arial" w:cs="Arial"/>
        </w:rPr>
        <w:t>38</w:t>
      </w:r>
      <w:r w:rsidRPr="006C11FE">
        <w:rPr>
          <w:rFonts w:ascii="Arial" w:hAnsi="Arial" w:cs="Arial"/>
        </w:rPr>
        <w:t>% (</w:t>
      </w:r>
      <w:r w:rsidR="00601919">
        <w:rPr>
          <w:rFonts w:ascii="Arial" w:hAnsi="Arial" w:cs="Arial"/>
        </w:rPr>
        <w:t>2</w:t>
      </w:r>
      <w:r w:rsidRPr="006C11FE">
        <w:rPr>
          <w:rFonts w:ascii="Arial" w:hAnsi="Arial" w:cs="Arial"/>
        </w:rPr>
        <w:t>.</w:t>
      </w:r>
      <w:r w:rsidR="00601919">
        <w:rPr>
          <w:rFonts w:ascii="Arial" w:hAnsi="Arial" w:cs="Arial"/>
        </w:rPr>
        <w:t>9</w:t>
      </w:r>
      <w:r w:rsidR="007A7BB8">
        <w:rPr>
          <w:rFonts w:ascii="Arial" w:hAnsi="Arial" w:cs="Arial"/>
        </w:rPr>
        <w:t>30</w:t>
      </w:r>
      <w:r w:rsidRPr="006C11FE">
        <w:rPr>
          <w:rFonts w:ascii="Arial" w:hAnsi="Arial" w:cs="Arial"/>
        </w:rPr>
        <w:t xml:space="preserve">) de ciudadanos/usuarios lo hicieron con el objetivo de conocer el estado del proceso o para solicitar información general de los programas a los cuales se acercaron. </w:t>
      </w:r>
      <w:r>
        <w:rPr>
          <w:rFonts w:ascii="Arial" w:hAnsi="Arial" w:cs="Arial"/>
        </w:rPr>
        <w:t>D</w:t>
      </w:r>
      <w:r w:rsidRPr="006C11FE">
        <w:rPr>
          <w:rFonts w:ascii="Arial" w:hAnsi="Arial" w:cs="Arial"/>
        </w:rPr>
        <w:t xml:space="preserve">e manera consolidada, de enero a </w:t>
      </w:r>
      <w:r w:rsidR="00A110A1">
        <w:rPr>
          <w:rFonts w:ascii="Arial" w:hAnsi="Arial" w:cs="Arial"/>
        </w:rPr>
        <w:t>jul</w:t>
      </w:r>
      <w:r>
        <w:rPr>
          <w:rFonts w:ascii="Arial" w:hAnsi="Arial" w:cs="Arial"/>
        </w:rPr>
        <w:t>io</w:t>
      </w:r>
      <w:r w:rsidRPr="006C11FE">
        <w:rPr>
          <w:rFonts w:ascii="Arial" w:hAnsi="Arial" w:cs="Arial"/>
        </w:rPr>
        <w:t xml:space="preserve"> de 2019, se han acercado a la entidad </w:t>
      </w:r>
      <w:r w:rsidR="00A110A1">
        <w:rPr>
          <w:rFonts w:ascii="Arial" w:hAnsi="Arial" w:cs="Arial"/>
        </w:rPr>
        <w:t>22.</w:t>
      </w:r>
      <w:r w:rsidR="007A7BB8">
        <w:rPr>
          <w:rFonts w:ascii="Arial" w:hAnsi="Arial" w:cs="Arial"/>
        </w:rPr>
        <w:t>811</w:t>
      </w:r>
      <w:r w:rsidRPr="006C11FE">
        <w:rPr>
          <w:rFonts w:ascii="Arial" w:hAnsi="Arial" w:cs="Arial"/>
        </w:rPr>
        <w:t xml:space="preserve"> (100</w:t>
      </w:r>
      <w:r w:rsidR="00A110A1">
        <w:rPr>
          <w:rFonts w:ascii="Arial" w:hAnsi="Arial" w:cs="Arial"/>
        </w:rPr>
        <w:t>%) ciudadanos/usuarios.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C11FE">
        <w:rPr>
          <w:rFonts w:ascii="Arial" w:hAnsi="Arial" w:cs="Arial"/>
        </w:rPr>
        <w:t>Dar a conocer en detalle al usuario los diferentes canales de interacción, puntos de  atención en terreno y en la CVP</w:t>
      </w:r>
      <w:r>
        <w:rPr>
          <w:rFonts w:ascii="Arial" w:hAnsi="Arial" w:cs="Arial"/>
        </w:rPr>
        <w:t>, e</w:t>
      </w:r>
      <w:r w:rsidRPr="006C11FE">
        <w:rPr>
          <w:rFonts w:ascii="Arial" w:hAnsi="Arial" w:cs="Arial"/>
        </w:rPr>
        <w:t>vitando que los Ciudadanos más vulnerables tengan que desplazarse lejos de su vivienda.</w:t>
      </w:r>
    </w:p>
    <w:p w:rsidR="006F2F06" w:rsidRPr="006C11F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F2F06" w:rsidRPr="005E111E" w:rsidRDefault="006F2F06" w:rsidP="006F2F0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6C11FE">
        <w:rPr>
          <w:rFonts w:ascii="Arial" w:hAnsi="Arial" w:cs="Arial"/>
        </w:rPr>
        <w:t xml:space="preserve">Facilitar el acceso a la información sobre los trámites y servicios que presta la entidad de manera virtual, permitirá empoderar a los ciudadanos; haciéndolos participes en la construcción de una </w:t>
      </w:r>
      <w:r w:rsidRPr="005E111E">
        <w:rPr>
          <w:rFonts w:ascii="Arial" w:hAnsi="Arial" w:cs="Arial"/>
          <w:b/>
        </w:rPr>
        <w:t>¡BOGOTA MEJOR PARA TODOS!</w:t>
      </w: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9469CB" w:rsidRDefault="009469CB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:rsidR="006F2F06" w:rsidRPr="002E720E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6F2F06" w:rsidRPr="00AF0CB1" w:rsidRDefault="006F2F06" w:rsidP="006F2F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2F06" w:rsidRDefault="006F2F06" w:rsidP="006F2F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Ramirez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Ramirez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394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6F2F06" w:rsidRPr="00A110A1" w:rsidRDefault="006F2F06" w:rsidP="00A11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 w:rsidR="00A110A1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   </w:t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6F2F06" w:rsidRPr="007E2536" w:rsidRDefault="006F2F06" w:rsidP="006F2F0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2A4276" w:rsidRPr="006F2F06" w:rsidRDefault="002A4276" w:rsidP="006F2F06"/>
    <w:sectPr w:rsidR="002A4276" w:rsidRPr="006F2F06" w:rsidSect="00EB711D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F6" w:rsidRDefault="00F636F6" w:rsidP="000C58E8">
      <w:pPr>
        <w:spacing w:after="0" w:line="240" w:lineRule="auto"/>
      </w:pPr>
      <w:r>
        <w:separator/>
      </w:r>
    </w:p>
  </w:endnote>
  <w:endnote w:type="continuationSeparator" w:id="0">
    <w:p w:rsidR="00F636F6" w:rsidRDefault="00F636F6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1D" w:rsidRDefault="00EB711D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02B4B" w:rsidRPr="00502B4B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02B4B" w:rsidRPr="00502B4B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:rsidR="008B7F40" w:rsidRDefault="000D0F4C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2CFE64" wp14:editId="1227EE50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20EE3E71" wp14:editId="6EDE448C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F6" w:rsidRDefault="00F636F6" w:rsidP="000C58E8">
      <w:pPr>
        <w:spacing w:after="0" w:line="240" w:lineRule="auto"/>
      </w:pPr>
      <w:r>
        <w:separator/>
      </w:r>
    </w:p>
  </w:footnote>
  <w:footnote w:type="continuationSeparator" w:id="0">
    <w:p w:rsidR="00F636F6" w:rsidRDefault="00F636F6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3A92"/>
    <w:rsid w:val="00004084"/>
    <w:rsid w:val="00006E1A"/>
    <w:rsid w:val="00013FF2"/>
    <w:rsid w:val="00014B0A"/>
    <w:rsid w:val="000256D8"/>
    <w:rsid w:val="00031F3B"/>
    <w:rsid w:val="00035E4F"/>
    <w:rsid w:val="00041AF6"/>
    <w:rsid w:val="00050E76"/>
    <w:rsid w:val="00051E81"/>
    <w:rsid w:val="00066096"/>
    <w:rsid w:val="00076C23"/>
    <w:rsid w:val="00082A2E"/>
    <w:rsid w:val="00090C46"/>
    <w:rsid w:val="000A3925"/>
    <w:rsid w:val="000B2C3B"/>
    <w:rsid w:val="000C3678"/>
    <w:rsid w:val="000C4A79"/>
    <w:rsid w:val="000C58E8"/>
    <w:rsid w:val="000D0403"/>
    <w:rsid w:val="000D0F4C"/>
    <w:rsid w:val="000D1A76"/>
    <w:rsid w:val="000D72BC"/>
    <w:rsid w:val="000E1755"/>
    <w:rsid w:val="000E2D99"/>
    <w:rsid w:val="000E6F99"/>
    <w:rsid w:val="000F1B99"/>
    <w:rsid w:val="000F39D9"/>
    <w:rsid w:val="001011D2"/>
    <w:rsid w:val="0010310A"/>
    <w:rsid w:val="00114036"/>
    <w:rsid w:val="00121000"/>
    <w:rsid w:val="001216E1"/>
    <w:rsid w:val="00130AD5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78D3"/>
    <w:rsid w:val="001C59BC"/>
    <w:rsid w:val="001D2790"/>
    <w:rsid w:val="001D5963"/>
    <w:rsid w:val="001E0FAD"/>
    <w:rsid w:val="001E11AE"/>
    <w:rsid w:val="001E3E1F"/>
    <w:rsid w:val="001F1FDD"/>
    <w:rsid w:val="0020294A"/>
    <w:rsid w:val="002034E3"/>
    <w:rsid w:val="002068B9"/>
    <w:rsid w:val="00210CB9"/>
    <w:rsid w:val="00221395"/>
    <w:rsid w:val="00221BD1"/>
    <w:rsid w:val="00221EC5"/>
    <w:rsid w:val="00241A63"/>
    <w:rsid w:val="0024486E"/>
    <w:rsid w:val="00245B22"/>
    <w:rsid w:val="002475BD"/>
    <w:rsid w:val="00261620"/>
    <w:rsid w:val="00270462"/>
    <w:rsid w:val="00271C6C"/>
    <w:rsid w:val="00275724"/>
    <w:rsid w:val="0027777A"/>
    <w:rsid w:val="002A4008"/>
    <w:rsid w:val="002A4276"/>
    <w:rsid w:val="002A4E15"/>
    <w:rsid w:val="002A568E"/>
    <w:rsid w:val="002B058C"/>
    <w:rsid w:val="002B28C0"/>
    <w:rsid w:val="002C1716"/>
    <w:rsid w:val="002C3454"/>
    <w:rsid w:val="002C67B6"/>
    <w:rsid w:val="002D76C6"/>
    <w:rsid w:val="002F59A8"/>
    <w:rsid w:val="00302E32"/>
    <w:rsid w:val="00303675"/>
    <w:rsid w:val="00310F17"/>
    <w:rsid w:val="00316D58"/>
    <w:rsid w:val="00321EAC"/>
    <w:rsid w:val="00326F09"/>
    <w:rsid w:val="0034127D"/>
    <w:rsid w:val="00342842"/>
    <w:rsid w:val="00346170"/>
    <w:rsid w:val="00352B19"/>
    <w:rsid w:val="00362360"/>
    <w:rsid w:val="00370B94"/>
    <w:rsid w:val="0037735E"/>
    <w:rsid w:val="00380632"/>
    <w:rsid w:val="003877AF"/>
    <w:rsid w:val="00387C4A"/>
    <w:rsid w:val="00393505"/>
    <w:rsid w:val="0039692B"/>
    <w:rsid w:val="003A0989"/>
    <w:rsid w:val="003A3FF5"/>
    <w:rsid w:val="003A4896"/>
    <w:rsid w:val="003C5CA8"/>
    <w:rsid w:val="003D08FF"/>
    <w:rsid w:val="003D112B"/>
    <w:rsid w:val="003D199E"/>
    <w:rsid w:val="003D1AA8"/>
    <w:rsid w:val="003E146D"/>
    <w:rsid w:val="003E4BB7"/>
    <w:rsid w:val="003E6E7A"/>
    <w:rsid w:val="003F6965"/>
    <w:rsid w:val="00416CD4"/>
    <w:rsid w:val="00422ADE"/>
    <w:rsid w:val="0042440B"/>
    <w:rsid w:val="004251D6"/>
    <w:rsid w:val="00427F6F"/>
    <w:rsid w:val="00442C45"/>
    <w:rsid w:val="00454A74"/>
    <w:rsid w:val="00462346"/>
    <w:rsid w:val="00473324"/>
    <w:rsid w:val="00473860"/>
    <w:rsid w:val="0047514A"/>
    <w:rsid w:val="00481A67"/>
    <w:rsid w:val="004833D6"/>
    <w:rsid w:val="0049537E"/>
    <w:rsid w:val="004A1F2E"/>
    <w:rsid w:val="004A43D8"/>
    <w:rsid w:val="004A6C5B"/>
    <w:rsid w:val="004A779E"/>
    <w:rsid w:val="004C2AD1"/>
    <w:rsid w:val="004D102E"/>
    <w:rsid w:val="004D1B2E"/>
    <w:rsid w:val="004D5A43"/>
    <w:rsid w:val="004D73FD"/>
    <w:rsid w:val="004E2C24"/>
    <w:rsid w:val="004E4D9D"/>
    <w:rsid w:val="004F5E67"/>
    <w:rsid w:val="00502B4B"/>
    <w:rsid w:val="0051483F"/>
    <w:rsid w:val="0052686B"/>
    <w:rsid w:val="005337DE"/>
    <w:rsid w:val="005445BE"/>
    <w:rsid w:val="005546AF"/>
    <w:rsid w:val="00554FB0"/>
    <w:rsid w:val="00561A19"/>
    <w:rsid w:val="00562ED1"/>
    <w:rsid w:val="0056482E"/>
    <w:rsid w:val="0058459B"/>
    <w:rsid w:val="005956BE"/>
    <w:rsid w:val="005A2861"/>
    <w:rsid w:val="005A298E"/>
    <w:rsid w:val="005A328F"/>
    <w:rsid w:val="005B35F9"/>
    <w:rsid w:val="005B3B9D"/>
    <w:rsid w:val="005B6B5D"/>
    <w:rsid w:val="005D6B51"/>
    <w:rsid w:val="005E111E"/>
    <w:rsid w:val="005E3FD3"/>
    <w:rsid w:val="005F286C"/>
    <w:rsid w:val="00601919"/>
    <w:rsid w:val="006021B1"/>
    <w:rsid w:val="00603917"/>
    <w:rsid w:val="00605F59"/>
    <w:rsid w:val="00615698"/>
    <w:rsid w:val="00620137"/>
    <w:rsid w:val="006227DB"/>
    <w:rsid w:val="0063656D"/>
    <w:rsid w:val="006430E4"/>
    <w:rsid w:val="00643927"/>
    <w:rsid w:val="006506FD"/>
    <w:rsid w:val="006512C3"/>
    <w:rsid w:val="00660DEE"/>
    <w:rsid w:val="006639DA"/>
    <w:rsid w:val="00663FC5"/>
    <w:rsid w:val="006726D3"/>
    <w:rsid w:val="006774B3"/>
    <w:rsid w:val="0068406C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24128"/>
    <w:rsid w:val="00725086"/>
    <w:rsid w:val="00725BD5"/>
    <w:rsid w:val="007307BA"/>
    <w:rsid w:val="00735E4F"/>
    <w:rsid w:val="007375DE"/>
    <w:rsid w:val="0074176C"/>
    <w:rsid w:val="0075217F"/>
    <w:rsid w:val="00761B46"/>
    <w:rsid w:val="00762049"/>
    <w:rsid w:val="00766E35"/>
    <w:rsid w:val="00776343"/>
    <w:rsid w:val="007800CC"/>
    <w:rsid w:val="00793709"/>
    <w:rsid w:val="007A1A53"/>
    <w:rsid w:val="007A7BB8"/>
    <w:rsid w:val="007B1DBC"/>
    <w:rsid w:val="007B5930"/>
    <w:rsid w:val="007C274C"/>
    <w:rsid w:val="007D224B"/>
    <w:rsid w:val="007E046B"/>
    <w:rsid w:val="007F62AA"/>
    <w:rsid w:val="0081152E"/>
    <w:rsid w:val="00816612"/>
    <w:rsid w:val="00825DB4"/>
    <w:rsid w:val="00826747"/>
    <w:rsid w:val="00830733"/>
    <w:rsid w:val="00835D5E"/>
    <w:rsid w:val="00842B18"/>
    <w:rsid w:val="00844948"/>
    <w:rsid w:val="00853F0F"/>
    <w:rsid w:val="00861690"/>
    <w:rsid w:val="00876258"/>
    <w:rsid w:val="00877678"/>
    <w:rsid w:val="00897924"/>
    <w:rsid w:val="008A7BC5"/>
    <w:rsid w:val="008B25AC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6B10"/>
    <w:rsid w:val="00901869"/>
    <w:rsid w:val="0090343C"/>
    <w:rsid w:val="00904F1F"/>
    <w:rsid w:val="0091298D"/>
    <w:rsid w:val="0091670F"/>
    <w:rsid w:val="00921972"/>
    <w:rsid w:val="00923331"/>
    <w:rsid w:val="00923EA5"/>
    <w:rsid w:val="00924C6F"/>
    <w:rsid w:val="00933218"/>
    <w:rsid w:val="00941E95"/>
    <w:rsid w:val="00943E12"/>
    <w:rsid w:val="009469CB"/>
    <w:rsid w:val="009469F1"/>
    <w:rsid w:val="009506D1"/>
    <w:rsid w:val="009535DE"/>
    <w:rsid w:val="00954285"/>
    <w:rsid w:val="009554B9"/>
    <w:rsid w:val="0096258D"/>
    <w:rsid w:val="00966F33"/>
    <w:rsid w:val="009732B4"/>
    <w:rsid w:val="009812C3"/>
    <w:rsid w:val="00991070"/>
    <w:rsid w:val="00993F8A"/>
    <w:rsid w:val="00997817"/>
    <w:rsid w:val="009A777F"/>
    <w:rsid w:val="009B0A26"/>
    <w:rsid w:val="009B2B0B"/>
    <w:rsid w:val="009B6D9A"/>
    <w:rsid w:val="009B7BE3"/>
    <w:rsid w:val="009C38D8"/>
    <w:rsid w:val="009C73D8"/>
    <w:rsid w:val="009D10D4"/>
    <w:rsid w:val="009D165F"/>
    <w:rsid w:val="009E079C"/>
    <w:rsid w:val="009E56FC"/>
    <w:rsid w:val="009F374A"/>
    <w:rsid w:val="00A110A1"/>
    <w:rsid w:val="00A149DF"/>
    <w:rsid w:val="00A17932"/>
    <w:rsid w:val="00A17A5A"/>
    <w:rsid w:val="00A2521B"/>
    <w:rsid w:val="00A26CDE"/>
    <w:rsid w:val="00A30483"/>
    <w:rsid w:val="00A36165"/>
    <w:rsid w:val="00A469C5"/>
    <w:rsid w:val="00A54CA5"/>
    <w:rsid w:val="00A55294"/>
    <w:rsid w:val="00A640A4"/>
    <w:rsid w:val="00A668B0"/>
    <w:rsid w:val="00A67209"/>
    <w:rsid w:val="00A727C6"/>
    <w:rsid w:val="00A77C2C"/>
    <w:rsid w:val="00A77DC7"/>
    <w:rsid w:val="00A80DA2"/>
    <w:rsid w:val="00A95B08"/>
    <w:rsid w:val="00AA0E0E"/>
    <w:rsid w:val="00AB37A2"/>
    <w:rsid w:val="00AC3319"/>
    <w:rsid w:val="00AD6121"/>
    <w:rsid w:val="00AE0C90"/>
    <w:rsid w:val="00AE6C6A"/>
    <w:rsid w:val="00AE7B5D"/>
    <w:rsid w:val="00AF5061"/>
    <w:rsid w:val="00B01702"/>
    <w:rsid w:val="00B12643"/>
    <w:rsid w:val="00B17EF6"/>
    <w:rsid w:val="00B35CB4"/>
    <w:rsid w:val="00B436DC"/>
    <w:rsid w:val="00B577BF"/>
    <w:rsid w:val="00B64715"/>
    <w:rsid w:val="00B66BB2"/>
    <w:rsid w:val="00B67E71"/>
    <w:rsid w:val="00B9424D"/>
    <w:rsid w:val="00B94404"/>
    <w:rsid w:val="00BA2636"/>
    <w:rsid w:val="00BA5B7E"/>
    <w:rsid w:val="00BB27A3"/>
    <w:rsid w:val="00BC0B2C"/>
    <w:rsid w:val="00BC34E2"/>
    <w:rsid w:val="00BD0322"/>
    <w:rsid w:val="00BD2C28"/>
    <w:rsid w:val="00C01E07"/>
    <w:rsid w:val="00C01E66"/>
    <w:rsid w:val="00C058F6"/>
    <w:rsid w:val="00C12E80"/>
    <w:rsid w:val="00C17676"/>
    <w:rsid w:val="00C2599E"/>
    <w:rsid w:val="00C364CA"/>
    <w:rsid w:val="00C4488A"/>
    <w:rsid w:val="00C46DA1"/>
    <w:rsid w:val="00C474E5"/>
    <w:rsid w:val="00C51372"/>
    <w:rsid w:val="00C54C91"/>
    <w:rsid w:val="00C63F7A"/>
    <w:rsid w:val="00C773AC"/>
    <w:rsid w:val="00C84720"/>
    <w:rsid w:val="00C85404"/>
    <w:rsid w:val="00C9021F"/>
    <w:rsid w:val="00C94716"/>
    <w:rsid w:val="00C960A8"/>
    <w:rsid w:val="00CA39AC"/>
    <w:rsid w:val="00CB1C45"/>
    <w:rsid w:val="00CD395E"/>
    <w:rsid w:val="00CE01AC"/>
    <w:rsid w:val="00D02FD3"/>
    <w:rsid w:val="00D0373B"/>
    <w:rsid w:val="00D47418"/>
    <w:rsid w:val="00D51EFE"/>
    <w:rsid w:val="00D5328E"/>
    <w:rsid w:val="00D54968"/>
    <w:rsid w:val="00D54BAF"/>
    <w:rsid w:val="00D61D99"/>
    <w:rsid w:val="00D62DD6"/>
    <w:rsid w:val="00D64B87"/>
    <w:rsid w:val="00D774B6"/>
    <w:rsid w:val="00D80EF7"/>
    <w:rsid w:val="00D86A87"/>
    <w:rsid w:val="00D86B63"/>
    <w:rsid w:val="00DA0BDA"/>
    <w:rsid w:val="00DB1F7E"/>
    <w:rsid w:val="00DB3B3A"/>
    <w:rsid w:val="00DD22F5"/>
    <w:rsid w:val="00DD71FA"/>
    <w:rsid w:val="00DE109B"/>
    <w:rsid w:val="00E16814"/>
    <w:rsid w:val="00E23553"/>
    <w:rsid w:val="00E2550E"/>
    <w:rsid w:val="00E40F21"/>
    <w:rsid w:val="00E457AA"/>
    <w:rsid w:val="00E4688E"/>
    <w:rsid w:val="00E46B29"/>
    <w:rsid w:val="00E625BB"/>
    <w:rsid w:val="00E72ADD"/>
    <w:rsid w:val="00E7344F"/>
    <w:rsid w:val="00E75DB5"/>
    <w:rsid w:val="00E840E1"/>
    <w:rsid w:val="00E859CB"/>
    <w:rsid w:val="00E949F7"/>
    <w:rsid w:val="00E95180"/>
    <w:rsid w:val="00E97B6F"/>
    <w:rsid w:val="00EA1C4F"/>
    <w:rsid w:val="00EB037C"/>
    <w:rsid w:val="00EB2467"/>
    <w:rsid w:val="00EB711D"/>
    <w:rsid w:val="00EC37F1"/>
    <w:rsid w:val="00EC3AE3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6E95"/>
    <w:rsid w:val="00F205B5"/>
    <w:rsid w:val="00F218AC"/>
    <w:rsid w:val="00F3117A"/>
    <w:rsid w:val="00F31457"/>
    <w:rsid w:val="00F34411"/>
    <w:rsid w:val="00F36F6C"/>
    <w:rsid w:val="00F42FE6"/>
    <w:rsid w:val="00F45222"/>
    <w:rsid w:val="00F46FB5"/>
    <w:rsid w:val="00F563A8"/>
    <w:rsid w:val="00F60B3F"/>
    <w:rsid w:val="00F636F6"/>
    <w:rsid w:val="00F6655A"/>
    <w:rsid w:val="00F66CEC"/>
    <w:rsid w:val="00F70B90"/>
    <w:rsid w:val="00F70E87"/>
    <w:rsid w:val="00F752D5"/>
    <w:rsid w:val="00F760C4"/>
    <w:rsid w:val="00F9085C"/>
    <w:rsid w:val="00F96A2C"/>
    <w:rsid w:val="00FA427B"/>
    <w:rsid w:val="00FB0F06"/>
    <w:rsid w:val="00FB12E6"/>
    <w:rsid w:val="00FB3B15"/>
    <w:rsid w:val="00FB60AC"/>
    <w:rsid w:val="00FB6FC2"/>
    <w:rsid w:val="00FC0210"/>
    <w:rsid w:val="00FC5D5E"/>
    <w:rsid w:val="00FC6A5D"/>
    <w:rsid w:val="00FE39C1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Jun%202019\reporte%20sima%20Junio%202019%20-%20Editad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/>
              <a:t>CANTIDAD DE CIUDADANOS ATENDIDOS POR DEPENDENCIAS - JULIO 2019</a:t>
            </a:r>
          </a:p>
        </c:rich>
      </c:tx>
      <c:overlay val="0"/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1168923329028317"/>
          <c:y val="1.4885699096225412E-2"/>
          <c:w val="0.55102681609243287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Tablas'!$B$101</c:f>
              <c:strCache>
                <c:ptCount val="1"/>
                <c:pt idx="0">
                  <c:v>CANTIDAD DE CIUDADANOS ATENDIDOS POR DEPENDENCIAS - JUNIO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EED-4564-9395-3D3AFD1A9593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ED-4564-9395-3D3AFD1A9593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ED-4564-9395-3D3AFD1A9593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ED-4564-9395-3D3AFD1A9593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ED-4564-9395-3D3AFD1A9593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ED-4564-9395-3D3AFD1A9593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ED-4564-9395-3D3AFD1A959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1634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ED-4564-9395-3D3AFD1A9593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ED-4564-9395-3D3AFD1A9593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ED-4564-9395-3D3AFD1A9593}"/>
                </c:ext>
              </c:extLst>
            </c:dLbl>
            <c:dLbl>
              <c:idx val="5"/>
              <c:layout>
                <c:manualLayout>
                  <c:x val="2.301903497122620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ED-4564-9395-3D3AFD1A9593}"/>
                </c:ext>
              </c:extLst>
            </c:dLbl>
            <c:dLbl>
              <c:idx val="6"/>
              <c:layout>
                <c:manualLayout>
                  <c:x val="2.83311199645861E-2"/>
                  <c:y val="1.03039670273055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ED-4564-9395-3D3AFD1A959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3.392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Tablas'!$A$102:$A$109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DIRECCION DE JURIDICA</c:v>
                </c:pt>
                <c:pt idx="6">
                  <c:v>DIRECCION DE GESTION CORPORATIVA Y CID</c:v>
                </c:pt>
                <c:pt idx="7">
                  <c:v>TOTAL</c:v>
                </c:pt>
              </c:strCache>
            </c:strRef>
          </c:cat>
          <c:val>
            <c:numRef>
              <c:f>'Gráficas &amp; Tablas'!$B$102:$B$109</c:f>
              <c:numCache>
                <c:formatCode>General</c:formatCode>
                <c:ptCount val="8"/>
                <c:pt idx="0">
                  <c:v>780</c:v>
                </c:pt>
                <c:pt idx="1">
                  <c:v>1295</c:v>
                </c:pt>
                <c:pt idx="2">
                  <c:v>590</c:v>
                </c:pt>
                <c:pt idx="3">
                  <c:v>66</c:v>
                </c:pt>
                <c:pt idx="4">
                  <c:v>14</c:v>
                </c:pt>
                <c:pt idx="5">
                  <c:v>3</c:v>
                </c:pt>
                <c:pt idx="6">
                  <c:v>2</c:v>
                </c:pt>
                <c:pt idx="7">
                  <c:v>2750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CEED-4564-9395-3D3AFD1A9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65601280"/>
        <c:axId val="169917184"/>
        <c:axId val="0"/>
      </c:bar3DChart>
      <c:catAx>
        <c:axId val="165601280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169917184"/>
        <c:crosses val="autoZero"/>
        <c:auto val="1"/>
        <c:lblAlgn val="ctr"/>
        <c:lblOffset val="100"/>
        <c:noMultiLvlLbl val="0"/>
      </c:catAx>
      <c:valAx>
        <c:axId val="16991718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656012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JUL</a:t>
            </a:r>
            <a:r>
              <a:rPr lang="en-US" sz="1200" baseline="0"/>
              <a:t> </a:t>
            </a:r>
            <a:r>
              <a:rPr lang="en-US" sz="1200"/>
              <a:t>2019</a:t>
            </a:r>
          </a:p>
        </c:rich>
      </c:tx>
      <c:overlay val="0"/>
    </c:title>
    <c:autoTitleDeleted val="0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Tablas'!$B$101</c:f>
              <c:strCache>
                <c:ptCount val="1"/>
                <c:pt idx="0">
                  <c:v>CANTIDAD DE CIUDADANOS ATENDIDOS POR DEPENDENCIAS - JUNIO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10-42A9-842D-EF4EC2CBFC1E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10-42A9-842D-EF4EC2CBFC1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10-42A9-842D-EF4EC2CBFC1E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10-42A9-842D-EF4EC2CBFC1E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10-42A9-842D-EF4EC2CBFC1E}"/>
              </c:ext>
            </c:extLst>
          </c:dPt>
          <c:dLbls>
            <c:dLbl>
              <c:idx val="0"/>
              <c:layout>
                <c:manualLayout>
                  <c:x val="0.13030731918003921"/>
                  <c:y val="-0.17990999491076687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MEJORAMIENTO DE VIVIENDA
</a:t>
                    </a:r>
                    <a:r>
                      <a:rPr lang="es-CO" sz="800" b="1" i="0" u="none" strike="noStrike" baseline="0">
                        <a:effectLst/>
                      </a:rPr>
                      <a:t>26,12</a:t>
                    </a:r>
                    <a:r>
                      <a:rPr lang="en-US" b="1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10-42A9-842D-EF4EC2CBFC1E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REASENTAMIENTOS
</a:t>
                    </a:r>
                    <a:r>
                      <a:rPr lang="es-CO" sz="800" b="1" i="0" u="none" strike="noStrike" baseline="0">
                        <a:effectLst/>
                      </a:rPr>
                      <a:t>48,17</a:t>
                    </a:r>
                    <a:r>
                      <a:rPr lang="en-US" b="1"/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10-42A9-842D-EF4EC2CBFC1E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URBANIZACIONES Y TITULACION
</a:t>
                    </a:r>
                    <a:r>
                      <a:rPr lang="es-CO" sz="800" b="1" i="0" u="none" strike="noStrike" baseline="0">
                        <a:effectLst/>
                      </a:rPr>
                      <a:t>22,76%</a:t>
                    </a:r>
                    <a:r>
                      <a:rPr lang="es-CO" sz="800" b="1" i="0" u="none" strike="noStrike" baseline="0"/>
                      <a:t> </a:t>
                    </a:r>
                    <a:endParaRPr lang="en-US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10-42A9-842D-EF4EC2CBFC1E}"/>
                </c:ext>
              </c:extLst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SUBDIRECCIÓN FINANCIERA - CARTERA
</a:t>
                    </a:r>
                    <a:r>
                      <a:rPr lang="es-CO" sz="800" b="1" i="0" u="none" strike="noStrike" baseline="0">
                        <a:effectLst/>
                      </a:rPr>
                      <a:t>2,42%</a:t>
                    </a:r>
                    <a:r>
                      <a:rPr lang="es-CO" sz="800" b="1" i="0" u="none" strike="noStrike" baseline="0"/>
                      <a:t> </a:t>
                    </a:r>
                    <a:endParaRPr lang="en-US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10-42A9-842D-EF4EC2CBFC1E}"/>
                </c:ext>
              </c:extLst>
            </c:dLbl>
            <c:dLbl>
              <c:idx val="4"/>
              <c:layout>
                <c:manualLayout>
                  <c:x val="5.5111111111111111E-2"/>
                  <c:y val="0.1095785799052346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MEJORAMIENTO DE BARRIOS
</a:t>
                    </a:r>
                    <a:r>
                      <a:rPr lang="es-CO" sz="800" b="1" i="0" u="none" strike="noStrike" baseline="0">
                        <a:effectLst/>
                      </a:rPr>
                      <a:t>0,38%</a:t>
                    </a:r>
                    <a:r>
                      <a:rPr lang="es-CO" sz="800" b="1" i="0" u="none" strike="noStrike" baseline="0"/>
                      <a:t> </a:t>
                    </a:r>
                    <a:endParaRPr lang="en-US" b="1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JURIDICA
</a:t>
                    </a:r>
                    <a:r>
                      <a:rPr lang="es-CO" sz="800" b="1" i="0" u="none" strike="noStrike" baseline="0">
                        <a:effectLst/>
                      </a:rPr>
                      <a:t>0,12%</a:t>
                    </a:r>
                    <a:r>
                      <a:rPr lang="es-CO" sz="800" b="1" i="0" u="none" strike="noStrike" baseline="0"/>
                      <a:t> </a:t>
                    </a:r>
                    <a:endParaRPr lang="en-US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10-42A9-842D-EF4EC2CBFC1E}"/>
                </c:ext>
              </c:extLst>
            </c:dLbl>
            <c:dLbl>
              <c:idx val="6"/>
              <c:layout>
                <c:manualLayout>
                  <c:x val="-0.22917725284339457"/>
                  <c:y val="1.407621077068336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DIRECCIÓN DE GESTION CORPORATIVA Y CID
</a:t>
                    </a:r>
                    <a:r>
                      <a:rPr lang="es-CO" sz="800" b="1" i="0" u="none" strike="noStrike" baseline="0">
                        <a:effectLst/>
                      </a:rPr>
                      <a:t>0,03%</a:t>
                    </a:r>
                    <a:r>
                      <a:rPr lang="es-CO" sz="800" b="1" i="0" u="none" strike="noStrike" baseline="0"/>
                      <a:t> </a:t>
                    </a:r>
                    <a:endParaRPr lang="en-US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10-42A9-842D-EF4EC2CBFC1E}"/>
                </c:ext>
              </c:extLst>
            </c:dLbl>
            <c:dLbl>
              <c:idx val="7"/>
              <c:layout>
                <c:manualLayout>
                  <c:x val="6.2112335958005253E-3"/>
                  <c:y val="-1.082538804055243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910-42A9-842D-EF4EC2CBFC1E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10-42A9-842D-EF4EC2CBFC1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'Gráficas &amp; Tablas'!$A$102:$A$108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DIRECCION DE MEJORAMIENTO DE BARRIOS</c:v>
                </c:pt>
                <c:pt idx="5">
                  <c:v>DIRECCION DE JURIDICA</c:v>
                </c:pt>
                <c:pt idx="6">
                  <c:v>DIRECCION DE GESTION CORPORATIVA Y CID</c:v>
                </c:pt>
              </c:strCache>
            </c:strRef>
          </c:cat>
          <c:val>
            <c:numRef>
              <c:f>'Gráficas &amp; Tablas'!$B$102:$B$108</c:f>
              <c:numCache>
                <c:formatCode>General</c:formatCode>
                <c:ptCount val="7"/>
                <c:pt idx="0">
                  <c:v>780</c:v>
                </c:pt>
                <c:pt idx="1">
                  <c:v>1295</c:v>
                </c:pt>
                <c:pt idx="2">
                  <c:v>590</c:v>
                </c:pt>
                <c:pt idx="3">
                  <c:v>66</c:v>
                </c:pt>
                <c:pt idx="4">
                  <c:v>14</c:v>
                </c:pt>
                <c:pt idx="5">
                  <c:v>3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E910-42A9-842D-EF4EC2CBF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JULIO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4884010170826406"/>
          <c:y val="3.5824067527046269E-2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29377716674304599"/>
          <c:y val="0"/>
          <c:w val="0.68669902373314451"/>
          <c:h val="0.9489779808058344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D99-4DA0-9B48-9BDFBF561974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D99-4DA0-9B48-9BDFBF56197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D99-4DA0-9B48-9BDFBF561974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D99-4DA0-9B48-9BDFBF561974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D99-4DA0-9B48-9BDFBF56197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D99-4DA0-9B48-9BDFBF561974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99-4DA0-9B48-9BDFBF56197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99-4DA0-9B48-9BDFBF561974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99-4DA0-9B48-9BDFBF561974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D99-4DA0-9B48-9BDFBF5619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Tablas'!$A$83:$A$87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 - CARTERA</c:v>
                </c:pt>
                <c:pt idx="4">
                  <c:v>TOTAL</c:v>
                </c:pt>
              </c:strCache>
            </c:strRef>
          </c:cat>
          <c:val>
            <c:numRef>
              <c:f>'Gráficas &amp; Tablas'!$B$83:$B$87</c:f>
              <c:numCache>
                <c:formatCode>General</c:formatCode>
                <c:ptCount val="5"/>
                <c:pt idx="0">
                  <c:v>27</c:v>
                </c:pt>
                <c:pt idx="1">
                  <c:v>26</c:v>
                </c:pt>
                <c:pt idx="2">
                  <c:v>9</c:v>
                </c:pt>
                <c:pt idx="3">
                  <c:v>1</c:v>
                </c:pt>
                <c:pt idx="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D99-4DA0-9B48-9BDFBF5619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65603840"/>
        <c:axId val="167012032"/>
        <c:axId val="0"/>
      </c:bar3DChart>
      <c:catAx>
        <c:axId val="165603840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67012032"/>
        <c:crosses val="autoZero"/>
        <c:auto val="1"/>
        <c:lblAlgn val="ctr"/>
        <c:lblOffset val="100"/>
        <c:noMultiLvlLbl val="0"/>
      </c:catAx>
      <c:valAx>
        <c:axId val="16701203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65603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1463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3</cp:revision>
  <cp:lastPrinted>2019-08-08T19:48:00Z</cp:lastPrinted>
  <dcterms:created xsi:type="dcterms:W3CDTF">2019-08-12T13:06:00Z</dcterms:created>
  <dcterms:modified xsi:type="dcterms:W3CDTF">2019-08-12T14:10:00Z</dcterms:modified>
</cp:coreProperties>
</file>